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D27E55">
        <w:rPr>
          <w:rFonts w:ascii="Times New Roman" w:hAnsi="Times New Roman" w:cs="Times New Roman"/>
          <w:sz w:val="28"/>
          <w:szCs w:val="28"/>
        </w:rPr>
        <w:t xml:space="preserve"> 16.02.</w:t>
      </w:r>
      <w:r w:rsidR="0070048E">
        <w:rPr>
          <w:rFonts w:ascii="Times New Roman" w:hAnsi="Times New Roman" w:cs="Times New Roman"/>
          <w:sz w:val="28"/>
          <w:szCs w:val="28"/>
        </w:rPr>
        <w:t>202</w:t>
      </w:r>
      <w:r w:rsidR="00702EA5">
        <w:rPr>
          <w:rFonts w:ascii="Times New Roman" w:hAnsi="Times New Roman" w:cs="Times New Roman"/>
          <w:sz w:val="28"/>
          <w:szCs w:val="28"/>
        </w:rPr>
        <w:t>2</w:t>
      </w:r>
      <w:r w:rsidR="0070048E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D27E55">
        <w:rPr>
          <w:rFonts w:ascii="Times New Roman" w:hAnsi="Times New Roman" w:cs="Times New Roman"/>
          <w:sz w:val="28"/>
          <w:szCs w:val="28"/>
        </w:rPr>
        <w:t>192</w:t>
      </w:r>
      <w:bookmarkStart w:id="0" w:name="_GoBack"/>
      <w:bookmarkEnd w:id="0"/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EA5">
        <w:rPr>
          <w:rFonts w:ascii="Times New Roman" w:hAnsi="Times New Roman" w:cs="Times New Roman"/>
          <w:b/>
          <w:sz w:val="28"/>
          <w:szCs w:val="28"/>
        </w:rPr>
        <w:t xml:space="preserve">«Улучшение экологической обстановки </w:t>
      </w:r>
    </w:p>
    <w:p w:rsidR="00702EA5" w:rsidRDefault="00702EA5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02E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2EA5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02EA5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9F8" w:rsidRPr="00753773" w:rsidRDefault="000D41B9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70048E">
        <w:rPr>
          <w:rFonts w:ascii="Times New Roman" w:hAnsi="Times New Roman" w:cs="Times New Roman"/>
          <w:sz w:val="28"/>
          <w:szCs w:val="28"/>
        </w:rPr>
        <w:t>2</w:t>
      </w:r>
      <w:r w:rsidR="00702EA5">
        <w:rPr>
          <w:rFonts w:ascii="Times New Roman" w:hAnsi="Times New Roman" w:cs="Times New Roman"/>
          <w:sz w:val="28"/>
          <w:szCs w:val="28"/>
        </w:rPr>
        <w:t>2</w:t>
      </w:r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702EA5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702EA5" w:rsidRPr="00702EA5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</w:t>
      </w:r>
      <w:proofErr w:type="spellStart"/>
      <w:r w:rsidR="00702EA5" w:rsidRPr="00702EA5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702EA5" w:rsidRPr="00702EA5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702EA5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на 20</w:t>
      </w:r>
      <w:r w:rsidR="00815DCF">
        <w:rPr>
          <w:rFonts w:ascii="Times New Roman" w:hAnsi="Times New Roman" w:cs="Times New Roman"/>
          <w:sz w:val="28"/>
          <w:szCs w:val="28"/>
        </w:rPr>
        <w:t>22</w:t>
      </w:r>
      <w:r w:rsidRPr="00753773">
        <w:rPr>
          <w:rFonts w:ascii="Times New Roman" w:hAnsi="Times New Roman" w:cs="Times New Roman"/>
          <w:sz w:val="28"/>
          <w:szCs w:val="28"/>
        </w:rPr>
        <w:t>-202</w:t>
      </w:r>
      <w:r w:rsidR="00815DCF">
        <w:rPr>
          <w:rFonts w:ascii="Times New Roman" w:hAnsi="Times New Roman" w:cs="Times New Roman"/>
          <w:sz w:val="28"/>
          <w:szCs w:val="28"/>
        </w:rPr>
        <w:t>7</w:t>
      </w:r>
      <w:r w:rsidRPr="00753773">
        <w:rPr>
          <w:rFonts w:ascii="Times New Roman" w:hAnsi="Times New Roman" w:cs="Times New Roman"/>
          <w:sz w:val="28"/>
          <w:szCs w:val="28"/>
        </w:rPr>
        <w:t>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</w:t>
            </w:r>
            <w:r w:rsidR="00702EA5" w:rsidRPr="00702EA5">
              <w:rPr>
                <w:rFonts w:ascii="Times New Roman" w:hAnsi="Times New Roman" w:cs="Times New Roman"/>
                <w:sz w:val="28"/>
                <w:szCs w:val="28"/>
              </w:rPr>
              <w:t xml:space="preserve">«Улучшение экологической обстановки в </w:t>
            </w:r>
            <w:proofErr w:type="spellStart"/>
            <w:r w:rsidR="00702EA5" w:rsidRPr="00702EA5">
              <w:rPr>
                <w:rFonts w:ascii="Times New Roman" w:hAnsi="Times New Roman" w:cs="Times New Roman"/>
                <w:sz w:val="28"/>
                <w:szCs w:val="28"/>
              </w:rPr>
              <w:t>Осташковском</w:t>
            </w:r>
            <w:proofErr w:type="spellEnd"/>
            <w:r w:rsidR="00702EA5" w:rsidRPr="00702EA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округе»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2EA5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годы»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140D4B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140D4B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815DCF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5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43" w:rsidRPr="00753773" w:rsidRDefault="00ED71F1" w:rsidP="00702EA5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1"/>
            <w:bookmarkEnd w:id="1"/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1AE0" w:rsidRPr="00753773" w:rsidRDefault="00D71AE0" w:rsidP="00140D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140D4B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351F05" w:rsidRDefault="00233162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финансирования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 </w:t>
            </w:r>
            <w:r w:rsidRPr="00351F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702EA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300000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02EA5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00 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300 000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руб.,  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300000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,00, за счет средств регионального бюджета – 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0,0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351F05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1B3D7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- </w:t>
            </w:r>
            <w:r w:rsidR="001B3D7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351F05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351F05" w:rsidRDefault="00E9463B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="00D71AE0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– 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="00826406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</w:t>
            </w:r>
          </w:p>
          <w:p w:rsidR="00826406" w:rsidRPr="00351F05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351F05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9463B" w:rsidRPr="00351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proofErr w:type="gramStart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руб..</w:t>
            </w:r>
            <w:proofErr w:type="gramEnd"/>
          </w:p>
          <w:p w:rsidR="00D71AE0" w:rsidRPr="00351F05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702EA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9463B"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подпрограммам:</w:t>
            </w:r>
          </w:p>
          <w:p w:rsidR="00351F05" w:rsidRPr="00351F05" w:rsidRDefault="00351F05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300000,00 руб., 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– 300 000,00 </w:t>
            </w:r>
            <w:proofErr w:type="spellStart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руб</w:t>
            </w:r>
            <w:proofErr w:type="spellEnd"/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 руб.</w:t>
            </w:r>
          </w:p>
          <w:p w:rsidR="00351F05" w:rsidRPr="00351F05" w:rsidRDefault="00351F05" w:rsidP="00351F05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2023 г. –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2024 г. –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2025 г. –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2026 г. –  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sz w:val="28"/>
                <w:szCs w:val="28"/>
              </w:rPr>
              <w:t xml:space="preserve">2027 г. – </w:t>
            </w: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0,00 руб.,</w:t>
            </w:r>
          </w:p>
          <w:p w:rsidR="00351F05" w:rsidRPr="00351F05" w:rsidRDefault="00351F05" w:rsidP="00351F0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- 0,00, </w:t>
            </w:r>
          </w:p>
          <w:p w:rsidR="00233162" w:rsidRPr="00351F05" w:rsidRDefault="00351F05" w:rsidP="00702EA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05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 руб.</w:t>
            </w:r>
          </w:p>
        </w:tc>
      </w:tr>
    </w:tbl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3EB" w:rsidRPr="001303EB" w:rsidRDefault="00E55199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Основной проблемой в области охраны окружающей среды на территории 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является решение вопросов, относящихся к сфере обращения с отходами производства и потребления. Ежегодно в </w:t>
      </w:r>
      <w:proofErr w:type="spellStart"/>
      <w:r w:rsidR="001303EB"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proofErr w:type="spellEnd"/>
      <w:r w:rsidR="001303EB"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 образуются новые очаги с несанкционированным размещением твердых коммунальных отходов. Это ведет к накоплению загрязняющих веществ в почвах, к изменениям состава грунтовых вод, что в конечном итоге отрицательно влияет на качество жизни граждан. За прошедшее десятилетие количество несанкц</w:t>
      </w:r>
      <w:r w:rsidR="001303EB">
        <w:rPr>
          <w:rFonts w:ascii="Times New Roman" w:hAnsi="Times New Roman" w:cs="Times New Roman"/>
          <w:spacing w:val="1"/>
          <w:sz w:val="28"/>
          <w:szCs w:val="28"/>
        </w:rPr>
        <w:t>ионированных свалок увеличилось.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Проблема рационального использования природных ресурсов и предотвращения загрязнения окружающей среды, утилизации отходов производства и потребления, недостаточный уровень экологических знаний у населения, необходимость повышения экологической грамотности и культуры населения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путём повышения информационного обеспечения, подтверждают острую необходимость разработки муниципальной программы, реализация которой будет способствовать оздоровлению экологической и санитарно-эпидемиологической ситуации в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proofErr w:type="spellEnd"/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ab/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>Реализация данной муниципальной программы позволит осуществить мероприятия по ликвидации несанкционированных мест размещения твердых коммунальных отходов, а населению войти в систему экологического просвещения и воспитания экологической культуры путем развития навыков рационального природопользования.</w:t>
      </w:r>
    </w:p>
    <w:p w:rsidR="001303EB" w:rsidRP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Для решения данных проблем требуется участие и взаимодействие органов местного самоуправления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 с привлечением населения, предприятий и организаций, наличия финансирования с привлечением источников всех уровней.</w:t>
      </w:r>
    </w:p>
    <w:p w:rsidR="001303EB" w:rsidRDefault="001303EB" w:rsidP="001303EB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Мероприятия муниципальной программы рассчитаны на решение основных задач в области охраны окружающей среды на территории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округа, осуществление которых направлено на обеспечение благоприятной окружающей среды, повышение уровня комфортности проживания в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Осташковском</w:t>
      </w:r>
      <w:proofErr w:type="spellEnd"/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городском округе. Решение поставленных задач предусматривает привлечение средств из бюджета </w:t>
      </w:r>
      <w:r>
        <w:rPr>
          <w:rFonts w:ascii="Times New Roman" w:hAnsi="Times New Roman" w:cs="Times New Roman"/>
          <w:spacing w:val="1"/>
          <w:sz w:val="28"/>
          <w:szCs w:val="28"/>
        </w:rPr>
        <w:t>Осташковского</w:t>
      </w:r>
      <w:r w:rsidRPr="001303EB">
        <w:rPr>
          <w:rFonts w:ascii="Times New Roman" w:hAnsi="Times New Roman" w:cs="Times New Roman"/>
          <w:spacing w:val="1"/>
          <w:sz w:val="28"/>
          <w:szCs w:val="28"/>
        </w:rPr>
        <w:t xml:space="preserve"> городского округа.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>, о-</w:t>
      </w:r>
      <w:r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Троеручица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Лежнево, заказник дикорастущих лекарственных трав «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753773" w:rsidRDefault="000D5DB9" w:rsidP="00D93F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D93F3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. Гораздо сложнее ситуация с неорганизованными туристами, поскольку невозможно проследить за тем, каким образом у них решается вопрос со сбором, транспортировкой и утилизацией отходов.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населения, способствуют формированию экологического сознания и выполняют воспитательную функцию. Данная Программа предусматривает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поддержку данных мероприятий уже существующих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округе, а также создание новых. </w:t>
      </w:r>
    </w:p>
    <w:p w:rsidR="00D71AE0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2A546B" w:rsidRDefault="00233162" w:rsidP="002A54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46B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К внутренним рискам реализации муниципальной программы относятся: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отсутствие профессионального менеджмента;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изменение задач структурных подразделений, участвующих в реализации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совершенствование механизма текущего управления реализацией муниципальной программы.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Внешними рисками реализации муниципальной программы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1) изменение финансирования.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Способом ограничения внешних рисков являются: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>1) своевременное внесение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программы;</w:t>
      </w:r>
    </w:p>
    <w:p w:rsidR="00FF12A7" w:rsidRPr="00FF12A7" w:rsidRDefault="00FF12A7" w:rsidP="00FF12A7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2) контроль за ходом выполнения мероприятий и показателей муниципальной программы.</w:t>
      </w:r>
    </w:p>
    <w:p w:rsidR="00233162" w:rsidRDefault="00FF12A7" w:rsidP="00FF12A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2A7">
        <w:rPr>
          <w:rFonts w:ascii="Times New Roman" w:eastAsia="Times New Roman" w:hAnsi="Times New Roman" w:cs="Times New Roman"/>
          <w:sz w:val="28"/>
          <w:szCs w:val="28"/>
        </w:rPr>
        <w:tab/>
        <w:t>Принятие мер по управлению рисками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Осташковского</w:t>
      </w:r>
      <w:r w:rsidRPr="00FF12A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основе мониторинга реализации муниципальной программы и оценки ее эффективности и результативности.</w:t>
      </w:r>
    </w:p>
    <w:p w:rsidR="00233162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162" w:rsidRPr="00753773" w:rsidRDefault="00233162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Цель </w:t>
      </w:r>
      <w:r w:rsidR="00702EA5">
        <w:rPr>
          <w:rFonts w:ascii="Times New Roman" w:hAnsi="Times New Roman" w:cs="Times New Roman"/>
          <w:sz w:val="28"/>
          <w:szCs w:val="28"/>
        </w:rPr>
        <w:t>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1072"/>
        <w:gridCol w:w="1134"/>
        <w:gridCol w:w="1134"/>
        <w:gridCol w:w="1099"/>
        <w:gridCol w:w="1027"/>
        <w:gridCol w:w="1447"/>
      </w:tblGrid>
      <w:tr w:rsidR="00DB6A76" w:rsidRPr="00753773" w:rsidTr="00140D4B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lastRenderedPageBreak/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6316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447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140D4B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072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2024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4159E4" w:rsidRPr="00753773" w:rsidRDefault="00A106E3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2025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099" w:type="dxa"/>
            <w:vAlign w:val="center"/>
          </w:tcPr>
          <w:p w:rsidR="004159E4" w:rsidRPr="00753773" w:rsidRDefault="00A106E3" w:rsidP="00A106E3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2026</w:t>
            </w:r>
            <w:r w:rsidR="004159E4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1027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A106E3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447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702EA5" w:rsidRPr="00753773" w:rsidTr="00140D4B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702EA5" w:rsidRPr="00702EA5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72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99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27" w:type="dxa"/>
          </w:tcPr>
          <w:p w:rsidR="00702EA5" w:rsidRDefault="00702EA5" w:rsidP="00702EA5">
            <w:r w:rsidRPr="00E27BD4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02EA5" w:rsidRPr="00140D4B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C64232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72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99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27" w:type="dxa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702EA5" w:rsidRDefault="00702EA5" w:rsidP="00702EA5">
            <w:r w:rsidRPr="00676FB2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702EA5" w:rsidRPr="00753773" w:rsidTr="00140D4B">
        <w:tc>
          <w:tcPr>
            <w:tcW w:w="534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96" w:type="dxa"/>
            <w:vAlign w:val="center"/>
          </w:tcPr>
          <w:p w:rsidR="00702EA5" w:rsidRPr="00753773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850" w:type="dxa"/>
            <w:vAlign w:val="center"/>
          </w:tcPr>
          <w:p w:rsidR="00702EA5" w:rsidRPr="00702EA5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  <w:tc>
          <w:tcPr>
            <w:tcW w:w="1072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99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27" w:type="dxa"/>
          </w:tcPr>
          <w:p w:rsidR="00702EA5" w:rsidRDefault="00702EA5" w:rsidP="00702EA5">
            <w:r w:rsidRPr="0072319F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02EA5" w:rsidRPr="00702EA5" w:rsidRDefault="00702EA5" w:rsidP="00702EA5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</w:tr>
      <w:tr w:rsidR="00140D4B" w:rsidRPr="00753773" w:rsidTr="00140D4B">
        <w:tc>
          <w:tcPr>
            <w:tcW w:w="1730" w:type="dxa"/>
            <w:gridSpan w:val="2"/>
            <w:vAlign w:val="center"/>
          </w:tcPr>
          <w:p w:rsidR="00140D4B" w:rsidRPr="00702EA5" w:rsidRDefault="00140D4B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140D4B" w:rsidRPr="00702EA5" w:rsidRDefault="00702EA5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>300000,00</w:t>
            </w:r>
          </w:p>
        </w:tc>
        <w:tc>
          <w:tcPr>
            <w:tcW w:w="1072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134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099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027" w:type="dxa"/>
          </w:tcPr>
          <w:p w:rsidR="00140D4B" w:rsidRPr="00702EA5" w:rsidRDefault="00702EA5" w:rsidP="00140D4B">
            <w:pPr>
              <w:rPr>
                <w:b/>
                <w:sz w:val="18"/>
              </w:rPr>
            </w:pPr>
            <w:r w:rsidRPr="00702EA5">
              <w:rPr>
                <w:b/>
                <w:sz w:val="18"/>
              </w:rPr>
              <w:t>0,00</w:t>
            </w:r>
          </w:p>
        </w:tc>
        <w:tc>
          <w:tcPr>
            <w:tcW w:w="1447" w:type="dxa"/>
            <w:vAlign w:val="center"/>
          </w:tcPr>
          <w:p w:rsidR="00140D4B" w:rsidRPr="00702EA5" w:rsidRDefault="00702EA5" w:rsidP="00140D4B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02EA5">
              <w:rPr>
                <w:rFonts w:ascii="Times New Roman" w:hAnsi="Times New Roman" w:cs="Times New Roman"/>
                <w:b/>
                <w:sz w:val="18"/>
                <w:szCs w:val="14"/>
              </w:rPr>
              <w:t>300000,00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02EA5">
        <w:rPr>
          <w:rFonts w:ascii="Times New Roman" w:hAnsi="Times New Roman" w:cs="Times New Roman"/>
          <w:b/>
          <w:sz w:val="28"/>
          <w:szCs w:val="28"/>
        </w:rPr>
        <w:t>1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Реализация подпрограммы 2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proofErr w:type="spellStart"/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2402CE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1«Улучшение экологической обстановки в районе» оценивается с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помощью  показателя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</w:t>
      </w:r>
      <w:proofErr w:type="gramStart"/>
      <w:r w:rsidRPr="00753773"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Pr="00753773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Pr="00753773">
        <w:rPr>
          <w:rFonts w:ascii="Times New Roman" w:hAnsi="Times New Roman" w:cs="Times New Roman"/>
          <w:sz w:val="28"/>
          <w:szCs w:val="28"/>
        </w:rPr>
        <w:t xml:space="preserve">Проведение и участие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в  совещаниях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 и обучающих семинарах  по вопросам экологии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Pr="00753773">
        <w:rPr>
          <w:rFonts w:ascii="Times New Roman" w:hAnsi="Times New Roman" w:cs="Times New Roman"/>
          <w:sz w:val="28"/>
          <w:szCs w:val="28"/>
        </w:rPr>
        <w:t xml:space="preserve">«Проведение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 рекультивации земель»</w:t>
      </w:r>
    </w:p>
    <w:p w:rsidR="00CE5B6F" w:rsidRDefault="00B351CF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"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Организация  мероприятий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 по очистке территории Осташковского городского округа  от мусора"</w:t>
      </w:r>
    </w:p>
    <w:p w:rsidR="001B3D7A" w:rsidRPr="00753773" w:rsidRDefault="001B3D7A" w:rsidP="001B3D7A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каждого мероприятия подпрограммы оценивается с помощью показателей, перечень которых и их значение по годам реализации муниципальной программы приведены в приложение 1 к настоящей муниципальной программе.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Объем финансовых ресурсов,  необходимый для реализации подпрограммы</w:t>
      </w:r>
    </w:p>
    <w:p w:rsidR="009C1148" w:rsidRPr="00753773" w:rsidRDefault="009C1148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</w:t>
      </w:r>
      <w:proofErr w:type="spellStart"/>
      <w:r w:rsidR="00763291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763291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140D4B">
        <w:rPr>
          <w:rFonts w:ascii="Times New Roman" w:hAnsi="Times New Roman" w:cs="Times New Roman"/>
          <w:sz w:val="28"/>
          <w:szCs w:val="28"/>
        </w:rPr>
        <w:t>300000,00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 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1072"/>
        <w:gridCol w:w="771"/>
        <w:gridCol w:w="992"/>
        <w:gridCol w:w="992"/>
        <w:gridCol w:w="851"/>
        <w:gridCol w:w="850"/>
        <w:gridCol w:w="2235"/>
      </w:tblGrid>
      <w:tr w:rsidR="00F743C6" w:rsidRPr="00753773" w:rsidTr="00140D4B">
        <w:tc>
          <w:tcPr>
            <w:tcW w:w="5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2235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proofErr w:type="spellStart"/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руб</w:t>
            </w:r>
            <w:proofErr w:type="spellEnd"/>
          </w:p>
        </w:tc>
      </w:tr>
      <w:tr w:rsidR="00F743C6" w:rsidRPr="00753773" w:rsidTr="00140D4B">
        <w:trPr>
          <w:trHeight w:val="626"/>
        </w:trPr>
        <w:tc>
          <w:tcPr>
            <w:tcW w:w="5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072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2022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771" w:type="dxa"/>
            <w:vAlign w:val="center"/>
          </w:tcPr>
          <w:p w:rsidR="00F743C6" w:rsidRPr="00753773" w:rsidRDefault="00140D4B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2023</w:t>
            </w:r>
            <w:r w:rsidR="00F743C6"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024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5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743C6" w:rsidRPr="00753773" w:rsidRDefault="00F743C6" w:rsidP="00140D4B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6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</w:t>
            </w:r>
            <w:r w:rsidR="00140D4B">
              <w:rPr>
                <w:rFonts w:ascii="Times New Roman" w:hAnsi="Times New Roman" w:cs="Times New Roman"/>
                <w:sz w:val="18"/>
                <w:szCs w:val="14"/>
              </w:rPr>
              <w:t>7</w:t>
            </w: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235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140D4B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107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7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140D4B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77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</w:tr>
      <w:tr w:rsidR="00F743C6" w:rsidRPr="00753773" w:rsidTr="00140D4B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1072" w:type="dxa"/>
          </w:tcPr>
          <w:p w:rsidR="00F743C6" w:rsidRPr="00753773" w:rsidRDefault="00140D4B" w:rsidP="00E718C2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  <w:tc>
          <w:tcPr>
            <w:tcW w:w="77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</w:tr>
      <w:tr w:rsidR="00F743C6" w:rsidRPr="00753773" w:rsidTr="00140D4B">
        <w:tc>
          <w:tcPr>
            <w:tcW w:w="1730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107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300000,00</w:t>
            </w:r>
          </w:p>
        </w:tc>
        <w:tc>
          <w:tcPr>
            <w:tcW w:w="771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  <w:r w:rsidR="00753773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1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2235" w:type="dxa"/>
            <w:vAlign w:val="center"/>
          </w:tcPr>
          <w:p w:rsidR="00F743C6" w:rsidRPr="00753773" w:rsidRDefault="00140D4B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300000,00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</w:t>
      </w:r>
      <w:r w:rsidR="00140D4B">
        <w:rPr>
          <w:rFonts w:ascii="Times New Roman" w:hAnsi="Times New Roman" w:cs="Times New Roman"/>
          <w:noProof/>
          <w:sz w:val="28"/>
          <w:szCs w:val="28"/>
        </w:rPr>
        <w:t>22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</w:t>
      </w:r>
      <w:r w:rsidR="001B3D7A">
        <w:rPr>
          <w:rFonts w:ascii="Times New Roman" w:hAnsi="Times New Roman" w:cs="Times New Roman"/>
          <w:noProof/>
          <w:sz w:val="28"/>
          <w:szCs w:val="28"/>
        </w:rPr>
        <w:t>7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501839" w:rsidRPr="00501839" w:rsidRDefault="00501839" w:rsidP="00501839">
      <w:pPr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</w:t>
      </w:r>
      <w:r w:rsidRPr="00AA401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Осташковского городского округа от </w:t>
      </w:r>
      <w:r w:rsidR="00AA401E" w:rsidRPr="00AA401E">
        <w:rPr>
          <w:rFonts w:ascii="Times New Roman" w:hAnsi="Times New Roman" w:cs="Times New Roman"/>
          <w:sz w:val="28"/>
          <w:szCs w:val="28"/>
        </w:rPr>
        <w:t xml:space="preserve">10.11. 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 w:rsidRP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>«Об</w:t>
      </w:r>
      <w:r w:rsidRPr="00501839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месяца со дня приведения муниципальной программы в соответствие с решением </w:t>
      </w:r>
      <w:proofErr w:type="spellStart"/>
      <w:r w:rsidRPr="00501839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01839">
        <w:rPr>
          <w:rFonts w:ascii="Times New Roman" w:hAnsi="Times New Roman" w:cs="Times New Roman"/>
          <w:sz w:val="28"/>
          <w:szCs w:val="28"/>
        </w:rPr>
        <w:t xml:space="preserve"> городской Думы о бюджете </w:t>
      </w:r>
      <w:r w:rsidRPr="00501839">
        <w:rPr>
          <w:rFonts w:ascii="Times New Roman" w:hAnsi="Times New Roman" w:cs="Times New Roman"/>
          <w:sz w:val="28"/>
          <w:szCs w:val="28"/>
        </w:rPr>
        <w:lastRenderedPageBreak/>
        <w:t>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501839" w:rsidRPr="00501839" w:rsidRDefault="00501839" w:rsidP="00501839">
      <w:pPr>
        <w:numPr>
          <w:ilvl w:val="0"/>
          <w:numId w:val="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решение </w:t>
      </w:r>
      <w:proofErr w:type="spellStart"/>
      <w:r w:rsidRPr="00501839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501839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501839" w:rsidRPr="00501839" w:rsidRDefault="00501839" w:rsidP="00501839">
      <w:pPr>
        <w:numPr>
          <w:ilvl w:val="0"/>
          <w:numId w:val="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501839" w:rsidRPr="00501839" w:rsidRDefault="00501839" w:rsidP="00501839">
      <w:pPr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501839" w:rsidRPr="00501839" w:rsidRDefault="00501839" w:rsidP="00501839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39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501839" w:rsidRPr="00501839" w:rsidRDefault="00501839" w:rsidP="0050183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:rsidR="00501839" w:rsidRPr="00501839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839">
        <w:rPr>
          <w:rFonts w:ascii="Times New Roman" w:hAnsi="Times New Roman" w:cs="Times New Roman"/>
          <w:sz w:val="28"/>
          <w:szCs w:val="28"/>
        </w:rPr>
        <w:t xml:space="preserve">– отдел </w:t>
      </w:r>
      <w:r>
        <w:rPr>
          <w:rFonts w:ascii="Times New Roman" w:hAnsi="Times New Roman" w:cs="Times New Roman"/>
          <w:sz w:val="28"/>
          <w:szCs w:val="28"/>
        </w:rPr>
        <w:t>туризма и экологии</w:t>
      </w:r>
      <w:r w:rsidRPr="00501839">
        <w:rPr>
          <w:rFonts w:ascii="Times New Roman" w:hAnsi="Times New Roman" w:cs="Times New Roman"/>
          <w:sz w:val="28"/>
          <w:szCs w:val="28"/>
        </w:rPr>
        <w:t xml:space="preserve"> администрации Осташковского городского округа;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501839" w:rsidRPr="00AA401E" w:rsidRDefault="00501839" w:rsidP="005018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lastRenderedPageBreak/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501839" w:rsidRPr="00AA401E" w:rsidRDefault="00501839" w:rsidP="0050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Мониторинг реализации муниципальной программы осуществляется посредством регулярного сбора, анализа и оценки: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а) первое полугодие текущего финансового года;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б) отчетный финансовый год.</w:t>
      </w:r>
    </w:p>
    <w:p w:rsidR="00501839" w:rsidRPr="00AA401E" w:rsidRDefault="00501839" w:rsidP="00501839">
      <w:pPr>
        <w:pStyle w:val="a7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A401E">
        <w:rPr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501839" w:rsidRPr="00AA401E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</w:t>
      </w:r>
      <w:r w:rsidR="00AA401E">
        <w:rPr>
          <w:rFonts w:ascii="Times New Roman" w:hAnsi="Times New Roman" w:cs="Times New Roman"/>
          <w:sz w:val="28"/>
          <w:szCs w:val="28"/>
        </w:rPr>
        <w:t>от 10.11.</w:t>
      </w:r>
      <w:r w:rsidRPr="00AA401E">
        <w:rPr>
          <w:rFonts w:ascii="Times New Roman" w:hAnsi="Times New Roman" w:cs="Times New Roman"/>
          <w:sz w:val="28"/>
          <w:szCs w:val="28"/>
        </w:rPr>
        <w:t>2021 №</w:t>
      </w:r>
      <w:r w:rsidR="00AA401E">
        <w:rPr>
          <w:rFonts w:ascii="Times New Roman" w:hAnsi="Times New Roman" w:cs="Times New Roman"/>
          <w:sz w:val="28"/>
          <w:szCs w:val="28"/>
        </w:rPr>
        <w:t>1545</w:t>
      </w:r>
      <w:r w:rsidRPr="00AA401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501839" w:rsidRPr="00501839" w:rsidRDefault="00501839" w:rsidP="00501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01E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proofErr w:type="gramStart"/>
      <w:r w:rsidRPr="00AA401E">
        <w:rPr>
          <w:rFonts w:ascii="Times New Roman" w:hAnsi="Times New Roman" w:cs="Times New Roman"/>
          <w:sz w:val="28"/>
          <w:szCs w:val="28"/>
        </w:rPr>
        <w:t>предпринимательства</w:t>
      </w:r>
      <w:proofErr w:type="gramEnd"/>
      <w:r w:rsidRPr="00AA401E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501839" w:rsidRDefault="0050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76F" w:rsidRPr="00753773" w:rsidRDefault="00F3176F" w:rsidP="00F3176F">
      <w:pPr>
        <w:jc w:val="right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702EA5" w:rsidRDefault="00702EA5" w:rsidP="00702EA5">
      <w:pPr>
        <w:tabs>
          <w:tab w:val="left" w:pos="7938"/>
          <w:tab w:val="left" w:pos="12049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>«Улучшение экологической обстановки</w:t>
      </w:r>
    </w:p>
    <w:p w:rsidR="00702EA5" w:rsidRDefault="00702EA5" w:rsidP="00702EA5">
      <w:pPr>
        <w:tabs>
          <w:tab w:val="left" w:pos="7938"/>
          <w:tab w:val="left" w:pos="12049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02EA5">
        <w:rPr>
          <w:rFonts w:ascii="Times New Roman" w:hAnsi="Times New Roman" w:cs="Times New Roman"/>
          <w:sz w:val="24"/>
          <w:szCs w:val="24"/>
        </w:rPr>
        <w:t>Осташковском</w:t>
      </w:r>
      <w:proofErr w:type="spellEnd"/>
      <w:r w:rsidRPr="00702EA5">
        <w:rPr>
          <w:rFonts w:ascii="Times New Roman" w:hAnsi="Times New Roman" w:cs="Times New Roman"/>
          <w:sz w:val="24"/>
          <w:szCs w:val="24"/>
        </w:rPr>
        <w:t xml:space="preserve"> городском округе» </w:t>
      </w:r>
    </w:p>
    <w:p w:rsidR="00702EA5" w:rsidRDefault="00702EA5" w:rsidP="00702EA5">
      <w:pPr>
        <w:tabs>
          <w:tab w:val="left" w:pos="7938"/>
          <w:tab w:val="left" w:pos="12049"/>
        </w:tabs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2EA5">
        <w:rPr>
          <w:rFonts w:ascii="Times New Roman" w:hAnsi="Times New Roman" w:cs="Times New Roman"/>
          <w:sz w:val="24"/>
          <w:szCs w:val="24"/>
        </w:rPr>
        <w:t xml:space="preserve">на 2022- 2027 годы»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702EA5" w:rsidRDefault="00702EA5" w:rsidP="00702EA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 xml:space="preserve">«Улучшение экологической обстановки в </w:t>
      </w:r>
      <w:proofErr w:type="spellStart"/>
      <w:r w:rsidRPr="00702EA5">
        <w:rPr>
          <w:rFonts w:ascii="Times New Roman" w:hAnsi="Times New Roman" w:cs="Times New Roman"/>
          <w:b/>
          <w:sz w:val="24"/>
          <w:szCs w:val="24"/>
        </w:rPr>
        <w:t>Осташковском</w:t>
      </w:r>
      <w:proofErr w:type="spellEnd"/>
      <w:r w:rsidRPr="00702EA5">
        <w:rPr>
          <w:rFonts w:ascii="Times New Roman" w:hAnsi="Times New Roman" w:cs="Times New Roman"/>
          <w:b/>
          <w:sz w:val="24"/>
          <w:szCs w:val="24"/>
        </w:rPr>
        <w:t xml:space="preserve"> городском округе» </w:t>
      </w:r>
    </w:p>
    <w:p w:rsidR="00F3176F" w:rsidRPr="00702EA5" w:rsidRDefault="00702EA5" w:rsidP="00702EA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2EA5">
        <w:rPr>
          <w:rFonts w:ascii="Times New Roman" w:hAnsi="Times New Roman" w:cs="Times New Roman"/>
          <w:b/>
          <w:sz w:val="24"/>
          <w:szCs w:val="24"/>
        </w:rPr>
        <w:t>на 2022- 2027 годы»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5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01"/>
        <w:gridCol w:w="567"/>
        <w:gridCol w:w="1276"/>
        <w:gridCol w:w="3260"/>
        <w:gridCol w:w="1447"/>
      </w:tblGrid>
      <w:tr w:rsidR="00DB6A76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594AF7" w:rsidRDefault="0023316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94AF7">
              <w:rPr>
                <w:sz w:val="24"/>
                <w:szCs w:val="20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594AF7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F7" w:rsidRPr="00594AF7" w:rsidRDefault="00594AF7" w:rsidP="00594AF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цели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</w:t>
            </w:r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«Улучшение экологической обстановки в </w:t>
            </w:r>
            <w:proofErr w:type="spell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Осташковском</w:t>
            </w:r>
            <w:proofErr w:type="spell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1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«Улучшение экологической обстановки </w:t>
            </w:r>
            <w:proofErr w:type="spellStart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>вОсташковском</w:t>
            </w:r>
            <w:proofErr w:type="spellEnd"/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ликвидированных несанкционированных свалок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1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субботников и акций экологической направленности»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Показатель 1 Административного мероп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риятия 1 Задачи 1 Подпрограммы 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субботников и акций экологической направленности»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2  Задачи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свалочных очагов на территории района с применением административной практики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2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AA401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="00AA401E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3.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 участие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в  совещаниях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обучающих семинарах  по вопросам экологии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1.Административного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3 Задачи 1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 «Количество проведенных совещаний, семинаров, заседаний  в  области  охраны  благоприятного состояния окружающей среды, 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экологических прав населения и сохранения здоровья»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2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устойчивого развития Осташковского городского округа в области экологии»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"количество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«Пропаганда экологических знаний, формирование экологической культуры, воспитание гражданской ответственности за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состояние  окружающей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среды»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1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 экологической культуры и воспитание гражданской ответственности за состояние окружающей среды»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«Публикации в СМИ по вопросам экологической обстановки, освещение экологических проблем в СМИ.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мероприятия 2 Задачи 2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публикаций в СМИ по вопросам экологической обстановки, освещение экологических проблем в СМИ"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Задача 3 Подпрограммы </w:t>
            </w:r>
            <w:r w:rsidR="00702E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охраны земельных</w:t>
            </w:r>
            <w:r w:rsidRPr="00594A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ресурсов»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"Количество сохраненных и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восстановленых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почв при проведении работ, связанных с нарушением земель 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рекультивации земель»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подготовленных проектов рекультивации земель» 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Мероприятия 1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</w:t>
            </w: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участков» 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мероприятие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1  Задачи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"Организация  мероприятий по очистке территории Осташковского городского округа  от мусора"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5" w:rsidRPr="00594AF7" w:rsidTr="006338C7"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Административного мероприятия Задачи 3 Подпрограммы </w:t>
            </w:r>
            <w:r w:rsidR="007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"Количество проведенных </w:t>
            </w:r>
            <w:proofErr w:type="gram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 xml:space="preserve"> очистке территории Осташковского городского округа  от мусора"</w:t>
            </w: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BB5" w:rsidRPr="00594AF7" w:rsidRDefault="006A3BB5" w:rsidP="006A3B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B5" w:rsidRPr="00594AF7" w:rsidRDefault="006A3BB5" w:rsidP="006A3BB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539F8" w:rsidRPr="00594AF7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594AF7" w:rsidSect="0014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7306C"/>
    <w:rsid w:val="00076BAB"/>
    <w:rsid w:val="000975CF"/>
    <w:rsid w:val="000D41B9"/>
    <w:rsid w:val="000D5DB9"/>
    <w:rsid w:val="00102730"/>
    <w:rsid w:val="00114AD3"/>
    <w:rsid w:val="0012293F"/>
    <w:rsid w:val="001303EB"/>
    <w:rsid w:val="00136148"/>
    <w:rsid w:val="00140D4B"/>
    <w:rsid w:val="00143B68"/>
    <w:rsid w:val="00157786"/>
    <w:rsid w:val="001634A4"/>
    <w:rsid w:val="001A0FD4"/>
    <w:rsid w:val="001B3B06"/>
    <w:rsid w:val="001B3D7A"/>
    <w:rsid w:val="001B5EAE"/>
    <w:rsid w:val="001E1CE6"/>
    <w:rsid w:val="001F697A"/>
    <w:rsid w:val="0020385B"/>
    <w:rsid w:val="00213BBB"/>
    <w:rsid w:val="00217B8A"/>
    <w:rsid w:val="00233162"/>
    <w:rsid w:val="00235D12"/>
    <w:rsid w:val="002402CE"/>
    <w:rsid w:val="00246263"/>
    <w:rsid w:val="00247BD5"/>
    <w:rsid w:val="00270BDA"/>
    <w:rsid w:val="00293EDD"/>
    <w:rsid w:val="002A2BA5"/>
    <w:rsid w:val="002A4D18"/>
    <w:rsid w:val="002A546B"/>
    <w:rsid w:val="002C06C2"/>
    <w:rsid w:val="002E396D"/>
    <w:rsid w:val="0030654E"/>
    <w:rsid w:val="00351F05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5588"/>
    <w:rsid w:val="004618E3"/>
    <w:rsid w:val="00464BBF"/>
    <w:rsid w:val="00472DE5"/>
    <w:rsid w:val="004A1743"/>
    <w:rsid w:val="004F4710"/>
    <w:rsid w:val="00501839"/>
    <w:rsid w:val="00504A08"/>
    <w:rsid w:val="00516A4C"/>
    <w:rsid w:val="005266E5"/>
    <w:rsid w:val="00532860"/>
    <w:rsid w:val="00541A45"/>
    <w:rsid w:val="00545C21"/>
    <w:rsid w:val="0058142E"/>
    <w:rsid w:val="005842B0"/>
    <w:rsid w:val="00590ED2"/>
    <w:rsid w:val="00591530"/>
    <w:rsid w:val="00594AF7"/>
    <w:rsid w:val="00596065"/>
    <w:rsid w:val="005A56A0"/>
    <w:rsid w:val="005A5E45"/>
    <w:rsid w:val="005D0571"/>
    <w:rsid w:val="005D13EF"/>
    <w:rsid w:val="00614DB2"/>
    <w:rsid w:val="006338C7"/>
    <w:rsid w:val="0063648C"/>
    <w:rsid w:val="00651C36"/>
    <w:rsid w:val="00662C09"/>
    <w:rsid w:val="00665F1E"/>
    <w:rsid w:val="006A3BB5"/>
    <w:rsid w:val="006C66ED"/>
    <w:rsid w:val="006D6A2A"/>
    <w:rsid w:val="0070048E"/>
    <w:rsid w:val="00702EA5"/>
    <w:rsid w:val="00737165"/>
    <w:rsid w:val="00740D19"/>
    <w:rsid w:val="007436CE"/>
    <w:rsid w:val="0074716B"/>
    <w:rsid w:val="00753773"/>
    <w:rsid w:val="00763291"/>
    <w:rsid w:val="00771C02"/>
    <w:rsid w:val="007C61FE"/>
    <w:rsid w:val="007E6B85"/>
    <w:rsid w:val="007F70E2"/>
    <w:rsid w:val="0080636D"/>
    <w:rsid w:val="00806B14"/>
    <w:rsid w:val="00807D24"/>
    <w:rsid w:val="00815DCF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D7D"/>
    <w:rsid w:val="008945D4"/>
    <w:rsid w:val="008A61D9"/>
    <w:rsid w:val="008B06F1"/>
    <w:rsid w:val="008C03C9"/>
    <w:rsid w:val="008C0CE9"/>
    <w:rsid w:val="008D6AAA"/>
    <w:rsid w:val="00916B96"/>
    <w:rsid w:val="00926617"/>
    <w:rsid w:val="00935215"/>
    <w:rsid w:val="00937B2C"/>
    <w:rsid w:val="009539F8"/>
    <w:rsid w:val="0096024F"/>
    <w:rsid w:val="00992BD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06E3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A401E"/>
    <w:rsid w:val="00AB344B"/>
    <w:rsid w:val="00AE301F"/>
    <w:rsid w:val="00AF2FAF"/>
    <w:rsid w:val="00B01F8C"/>
    <w:rsid w:val="00B11C07"/>
    <w:rsid w:val="00B34E27"/>
    <w:rsid w:val="00B351CF"/>
    <w:rsid w:val="00B54C9B"/>
    <w:rsid w:val="00B62718"/>
    <w:rsid w:val="00B84A23"/>
    <w:rsid w:val="00BA3A12"/>
    <w:rsid w:val="00BA49ED"/>
    <w:rsid w:val="00BB0171"/>
    <w:rsid w:val="00BB3CF4"/>
    <w:rsid w:val="00BE7601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40FF"/>
    <w:rsid w:val="00D076DB"/>
    <w:rsid w:val="00D27076"/>
    <w:rsid w:val="00D27E55"/>
    <w:rsid w:val="00D31774"/>
    <w:rsid w:val="00D37D4B"/>
    <w:rsid w:val="00D71AE0"/>
    <w:rsid w:val="00D7577B"/>
    <w:rsid w:val="00D93F39"/>
    <w:rsid w:val="00D9590A"/>
    <w:rsid w:val="00DB0486"/>
    <w:rsid w:val="00DB4DE2"/>
    <w:rsid w:val="00DB6A76"/>
    <w:rsid w:val="00DE613D"/>
    <w:rsid w:val="00DF1CB7"/>
    <w:rsid w:val="00DF4C09"/>
    <w:rsid w:val="00E5075B"/>
    <w:rsid w:val="00E52E3F"/>
    <w:rsid w:val="00E54A5F"/>
    <w:rsid w:val="00E55199"/>
    <w:rsid w:val="00E64F43"/>
    <w:rsid w:val="00E718C2"/>
    <w:rsid w:val="00E75593"/>
    <w:rsid w:val="00E9463B"/>
    <w:rsid w:val="00EA1A2E"/>
    <w:rsid w:val="00EA1F1C"/>
    <w:rsid w:val="00EB4018"/>
    <w:rsid w:val="00ED71F1"/>
    <w:rsid w:val="00EF683C"/>
    <w:rsid w:val="00F05CEF"/>
    <w:rsid w:val="00F11E4D"/>
    <w:rsid w:val="00F17E32"/>
    <w:rsid w:val="00F3176F"/>
    <w:rsid w:val="00F743C6"/>
    <w:rsid w:val="00FD0AC2"/>
    <w:rsid w:val="00FF12A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B8008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A1C5B-A633-4D6E-BB93-4E8A179D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3563</Words>
  <Characters>20312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58</cp:revision>
  <cp:lastPrinted>2022-02-17T08:26:00Z</cp:lastPrinted>
  <dcterms:created xsi:type="dcterms:W3CDTF">2018-11-20T09:21:00Z</dcterms:created>
  <dcterms:modified xsi:type="dcterms:W3CDTF">2022-02-17T08:28:00Z</dcterms:modified>
</cp:coreProperties>
</file>