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proofErr w:type="gramStart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6A6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7C73AF">
        <w:rPr>
          <w:rFonts w:ascii="Times New Roman" w:hAnsi="Times New Roman" w:cs="Times New Roman"/>
          <w:sz w:val="28"/>
          <w:szCs w:val="28"/>
        </w:rPr>
        <w:t>2022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864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7088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134"/>
        <w:gridCol w:w="1134"/>
        <w:gridCol w:w="1134"/>
        <w:gridCol w:w="1134"/>
        <w:gridCol w:w="1134"/>
        <w:gridCol w:w="889"/>
      </w:tblGrid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9939A4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9939A4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484961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61">
              <w:rPr>
                <w:rFonts w:ascii="Times New Roman" w:hAnsi="Times New Roman" w:cs="Times New Roman"/>
                <w:bCs/>
                <w:sz w:val="24"/>
                <w:szCs w:val="24"/>
              </w:rPr>
              <w:t>4031219,53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842C0B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484961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853840,00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104807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4807" w:rsidRPr="006C2177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7919D0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22097A" w:rsidRDefault="004C621C" w:rsidP="00104807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549529,00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484961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03616F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7919D0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4C621C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880869,53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919D0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F2759A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1790494,53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7919D0" w:rsidP="007919D0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842C0B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685100,61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применение устаревших методик и подходов, как на уровне планирования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Показателем, характеризующим достижение цели муниципальной программы, 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484961" w:rsidRPr="00484961">
        <w:rPr>
          <w:rFonts w:ascii="Times New Roman" w:hAnsi="Times New Roman" w:cs="Times New Roman"/>
          <w:sz w:val="26"/>
          <w:szCs w:val="26"/>
        </w:rPr>
        <w:t>2651640</w:t>
      </w:r>
      <w:proofErr w:type="gramEnd"/>
      <w:r w:rsidR="00484961" w:rsidRPr="00484961">
        <w:rPr>
          <w:rFonts w:ascii="Times New Roman" w:hAnsi="Times New Roman" w:cs="Times New Roman"/>
          <w:sz w:val="26"/>
          <w:szCs w:val="26"/>
        </w:rPr>
        <w:t>,00</w:t>
      </w:r>
      <w:r w:rsidR="00484961">
        <w:rPr>
          <w:rFonts w:ascii="Times New Roman" w:hAnsi="Times New Roman" w:cs="Times New Roman"/>
          <w:sz w:val="26"/>
          <w:szCs w:val="26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1 «Содействие развитию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гражданско-патриотического и духовно-нравственного воспитания молодежи».</w:t>
            </w:r>
          </w:p>
        </w:tc>
        <w:tc>
          <w:tcPr>
            <w:tcW w:w="1134" w:type="dxa"/>
          </w:tcPr>
          <w:p w:rsidR="00EC4AF6" w:rsidRPr="006C2177" w:rsidRDefault="00484961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577220,00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F2759A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172092,0</w:t>
            </w: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EC4AF6" w:rsidRPr="006C2177" w:rsidRDefault="00484961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961">
              <w:rPr>
                <w:rFonts w:ascii="Times New Roman" w:hAnsi="Times New Roman" w:cs="Times New Roman"/>
                <w:sz w:val="24"/>
                <w:szCs w:val="28"/>
              </w:rPr>
              <w:t>276620,00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BB4121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930720,00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484961">
        <w:rPr>
          <w:rFonts w:ascii="Times New Roman" w:hAnsi="Times New Roman" w:cs="Times New Roman"/>
          <w:sz w:val="28"/>
          <w:szCs w:val="28"/>
        </w:rPr>
        <w:t>498710,00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484961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961">
              <w:rPr>
                <w:rFonts w:ascii="Times New Roman" w:hAnsi="Times New Roman" w:cs="Times New Roman"/>
                <w:sz w:val="24"/>
                <w:szCs w:val="28"/>
              </w:rPr>
              <w:t>90785,00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BB4121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121">
              <w:rPr>
                <w:rFonts w:ascii="Times New Roman" w:hAnsi="Times New Roman" w:cs="Times New Roman"/>
                <w:sz w:val="24"/>
                <w:szCs w:val="28"/>
              </w:rPr>
              <w:t>369200,00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 «Развитие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BB4121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121">
              <w:rPr>
                <w:rFonts w:ascii="Times New Roman" w:hAnsi="Times New Roman" w:cs="Times New Roman"/>
                <w:sz w:val="24"/>
                <w:szCs w:val="28"/>
              </w:rPr>
              <w:t>129510,00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   </w:t>
      </w:r>
      <w:r w:rsidR="00B45263">
        <w:rPr>
          <w:rFonts w:ascii="Times New Roman" w:hAnsi="Times New Roman" w:cs="Times New Roman"/>
          <w:bCs/>
          <w:sz w:val="24"/>
          <w:szCs w:val="24"/>
        </w:rPr>
        <w:t>880869,53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C1FE9" w:rsidRPr="006621E8" w:rsidRDefault="004C621C" w:rsidP="00CC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B45263" w:rsidRPr="006621E8" w:rsidRDefault="00B45263" w:rsidP="00B4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В течение месяца со дня приведения муниципальной программы в соответствие с решением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</w:t>
      </w:r>
      <w:proofErr w:type="gramStart"/>
      <w:r w:rsidR="00156D3A" w:rsidRPr="00156D3A">
        <w:rPr>
          <w:rFonts w:ascii="Times New Roman" w:hAnsi="Times New Roman" w:cs="Times New Roman"/>
          <w:sz w:val="28"/>
          <w:szCs w:val="28"/>
        </w:rPr>
        <w:t>квартал;</w:t>
      </w:r>
      <w:r w:rsidRPr="00156D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 xml:space="preserve"> отчетный финансовый год и осуществляют оценку эффективности реализации </w:t>
      </w:r>
      <w:r w:rsidRPr="00156D3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</w:t>
      </w:r>
      <w:proofErr w:type="gramStart"/>
      <w:r w:rsidR="008E06ED" w:rsidRPr="0049282E">
        <w:rPr>
          <w:rFonts w:ascii="Times New Roman" w:hAnsi="Times New Roman" w:cs="Times New Roman"/>
        </w:rPr>
        <w:t xml:space="preserve">Селигера </w:t>
      </w:r>
      <w:r w:rsidR="002755E1">
        <w:rPr>
          <w:rFonts w:ascii="Times New Roman" w:hAnsi="Times New Roman" w:cs="Times New Roman"/>
        </w:rPr>
        <w:t xml:space="preserve"> на</w:t>
      </w:r>
      <w:proofErr w:type="gramEnd"/>
      <w:r w:rsidR="002755E1">
        <w:rPr>
          <w:rFonts w:ascii="Times New Roman" w:hAnsi="Times New Roman" w:cs="Times New Roman"/>
        </w:rPr>
        <w:t xml:space="preserve"> 2022</w:t>
      </w:r>
      <w:r w:rsidRPr="0049282E">
        <w:rPr>
          <w:rFonts w:ascii="Times New Roman" w:hAnsi="Times New Roman" w:cs="Times New Roman"/>
        </w:rPr>
        <w:t>- 20</w:t>
      </w:r>
      <w:r w:rsidR="007E5BFD">
        <w:rPr>
          <w:rFonts w:ascii="Times New Roman" w:hAnsi="Times New Roman" w:cs="Times New Roman"/>
        </w:rPr>
        <w:t>27</w:t>
      </w:r>
      <w:r w:rsidRPr="0049282E">
        <w:rPr>
          <w:rFonts w:ascii="Times New Roman" w:hAnsi="Times New Roman" w:cs="Times New Roman"/>
        </w:rPr>
        <w:t xml:space="preserve">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Осташковского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="007E5BFD">
        <w:rPr>
          <w:rFonts w:ascii="Times New Roman" w:hAnsi="Times New Roman" w:cs="Times New Roman"/>
          <w:b/>
        </w:rPr>
        <w:t xml:space="preserve"> 2022</w:t>
      </w:r>
      <w:r w:rsidRPr="0049282E">
        <w:rPr>
          <w:rFonts w:ascii="Times New Roman" w:hAnsi="Times New Roman" w:cs="Times New Roman"/>
          <w:b/>
        </w:rPr>
        <w:t>- 202</w:t>
      </w:r>
      <w:r w:rsidR="007E5BFD">
        <w:rPr>
          <w:rFonts w:ascii="Times New Roman" w:hAnsi="Times New Roman" w:cs="Times New Roman"/>
          <w:b/>
        </w:rPr>
        <w:t>7</w:t>
      </w:r>
      <w:r w:rsidRPr="0049282E">
        <w:rPr>
          <w:rFonts w:ascii="Times New Roman" w:hAnsi="Times New Roman" w:cs="Times New Roman"/>
          <w:b/>
        </w:rPr>
        <w:t xml:space="preserve">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2"/>
        <w:gridCol w:w="1292"/>
        <w:gridCol w:w="1967"/>
        <w:gridCol w:w="1853"/>
        <w:gridCol w:w="2394"/>
      </w:tblGrid>
      <w:tr w:rsidR="00E23647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23647" w:rsidRPr="00007994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7994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1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proofErr w:type="gramEnd"/>
            <w:r>
              <w:rPr>
                <w:sz w:val="18"/>
                <w:szCs w:val="1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BD0124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цели</w:t>
            </w:r>
            <w:proofErr w:type="gramEnd"/>
            <w:r>
              <w:rPr>
                <w:sz w:val="18"/>
                <w:szCs w:val="18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A425D3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отдела спорта и молодежной политики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подпрограммы 1« 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  </w:t>
            </w:r>
            <w:proofErr w:type="gramStart"/>
            <w:r>
              <w:rPr>
                <w:b/>
                <w:bCs/>
                <w:sz w:val="18"/>
                <w:szCs w:val="18"/>
              </w:rPr>
              <w:t>1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 подпрограммы 1 «Количество</w:t>
            </w:r>
            <w:r>
              <w:rPr>
                <w:sz w:val="18"/>
                <w:szCs w:val="1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        </w:t>
            </w:r>
            <w:r>
              <w:rPr>
                <w:b/>
                <w:bCs/>
                <w:sz w:val="18"/>
                <w:szCs w:val="18"/>
              </w:rPr>
              <w:t xml:space="preserve">  Задачи </w:t>
            </w:r>
            <w:proofErr w:type="gramStart"/>
            <w:r>
              <w:rPr>
                <w:b/>
                <w:bCs/>
                <w:sz w:val="18"/>
                <w:szCs w:val="18"/>
              </w:rPr>
              <w:t>1  Подпрограммы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>1  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1.           Задачи 1 Подпрограммы 1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sz w:val="18"/>
                <w:szCs w:val="1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молодежной политики </w:t>
            </w:r>
            <w:r w:rsidRPr="0049282E">
              <w:rPr>
                <w:rFonts w:ascii="Times New Roman" w:hAnsi="Times New Roman" w:cs="Times New Roman"/>
              </w:rPr>
              <w:lastRenderedPageBreak/>
              <w:t>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>
              <w:rPr>
                <w:color w:val="000000"/>
                <w:sz w:val="18"/>
                <w:szCs w:val="18"/>
              </w:rPr>
              <w:t>. Задачи 1 Подпрограммы 1"Обустройство и восстановление воинских захоронений в рамках реализации федеральной программы "</w:t>
            </w:r>
            <w:proofErr w:type="spellStart"/>
            <w:r>
              <w:rPr>
                <w:color w:val="000000"/>
                <w:sz w:val="18"/>
                <w:szCs w:val="18"/>
              </w:rPr>
              <w:t>Увековечиваниепамяти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1</w:t>
            </w:r>
            <w:r>
              <w:rPr>
                <w:color w:val="000000"/>
                <w:sz w:val="18"/>
                <w:szCs w:val="1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D6352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Задачи 1 Подпрограммы 1 «</w:t>
            </w:r>
            <w:r>
              <w:rPr>
                <w:sz w:val="18"/>
                <w:szCs w:val="1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Мероприятие 2. Задачи 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Подпрограммы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Административное мероприятие 3 Задачи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  Подпрограммы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Показатель 1 Административного мероприятия 3. Задачи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Подпрограммы 1 </w:t>
            </w:r>
            <w:r>
              <w:rPr>
                <w:color w:val="000000"/>
                <w:sz w:val="16"/>
                <w:szCs w:val="16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«Вовлечение молодежи  в волонтерскую  деятельность, общественно-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Задачи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1«</w:t>
            </w:r>
            <w:r>
              <w:rPr>
                <w:sz w:val="18"/>
                <w:szCs w:val="1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1. Задачи 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2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2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Подпрограмма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«Профилактика употребления наркотических средств и пропаганда здорового образа жизни в молодёжной среде»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Подпрограммы 2   «</w:t>
            </w:r>
            <w:r>
              <w:rPr>
                <w:sz w:val="18"/>
                <w:szCs w:val="18"/>
              </w:rPr>
              <w:t>Развитие деятельности направленной на формирование здорового образа жизни»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 Подпрограммы 2</w:t>
            </w:r>
            <w:r>
              <w:rPr>
                <w:sz w:val="18"/>
                <w:szCs w:val="18"/>
              </w:rPr>
              <w:t xml:space="preserve">  «Количество молодых граждан Осташковского городского округа,  участвующих  в </w:t>
            </w:r>
            <w:r>
              <w:rPr>
                <w:sz w:val="18"/>
                <w:szCs w:val="18"/>
              </w:rPr>
              <w:lastRenderedPageBreak/>
              <w:t>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</w:t>
            </w:r>
            <w:r w:rsidRPr="0049282E">
              <w:rPr>
                <w:rFonts w:ascii="Times New Roman" w:hAnsi="Times New Roman" w:cs="Times New Roman"/>
              </w:rPr>
              <w:lastRenderedPageBreak/>
              <w:t>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>. Задачи 2 подпрограммы 2</w:t>
            </w:r>
            <w:r>
              <w:rPr>
                <w:sz w:val="18"/>
                <w:szCs w:val="1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>1.Мероприятие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Задачи 2 подпрограммы 2 </w:t>
            </w:r>
            <w:r>
              <w:rPr>
                <w:sz w:val="18"/>
                <w:szCs w:val="1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 Задачи 2 подпрограммы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"</w:t>
            </w:r>
            <w:proofErr w:type="gramEnd"/>
            <w:r>
              <w:rPr>
                <w:sz w:val="18"/>
                <w:szCs w:val="1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 xml:space="preserve"> Административное</w:t>
            </w:r>
            <w:r>
              <w:rPr>
                <w:b/>
                <w:bCs/>
                <w:sz w:val="18"/>
                <w:szCs w:val="18"/>
              </w:rPr>
              <w:t xml:space="preserve"> мероприятие 2.  Задачи 2 подпрограммы 2 </w:t>
            </w:r>
            <w:r>
              <w:rPr>
                <w:sz w:val="18"/>
                <w:szCs w:val="1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Задача   </w:t>
            </w:r>
            <w:proofErr w:type="gramStart"/>
            <w:r>
              <w:rPr>
                <w:b/>
                <w:bCs/>
                <w:sz w:val="18"/>
                <w:szCs w:val="18"/>
              </w:rPr>
              <w:t>2  «</w:t>
            </w:r>
            <w:proofErr w:type="gramEnd"/>
            <w:r>
              <w:rPr>
                <w:b/>
                <w:bCs/>
                <w:sz w:val="18"/>
                <w:szCs w:val="1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  1    Задачи 2 Подпрограммы 2«</w:t>
            </w:r>
            <w:r>
              <w:rPr>
                <w:sz w:val="18"/>
                <w:szCs w:val="1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Мероприятие   1 Задачи 2 Подпрограммы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«</w:t>
            </w:r>
            <w:proofErr w:type="gramEnd"/>
            <w:r>
              <w:rPr>
                <w:sz w:val="18"/>
                <w:szCs w:val="1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sz w:val="18"/>
                <w:szCs w:val="18"/>
              </w:rPr>
              <w:t>Мероприятия</w:t>
            </w:r>
            <w:r>
              <w:rPr>
                <w:b/>
                <w:bCs/>
                <w:sz w:val="18"/>
                <w:szCs w:val="18"/>
              </w:rPr>
              <w:t xml:space="preserve"> 1Задачи 2 Подпрограммы 2</w:t>
            </w:r>
            <w:r>
              <w:rPr>
                <w:sz w:val="18"/>
                <w:szCs w:val="18"/>
              </w:rPr>
              <w:t xml:space="preserve">«Количество </w:t>
            </w:r>
            <w:proofErr w:type="gramStart"/>
            <w:r>
              <w:rPr>
                <w:sz w:val="18"/>
                <w:szCs w:val="18"/>
              </w:rPr>
              <w:t>участников  мероприятий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>. Задачи 2 Подпрограммы 2   «</w:t>
            </w:r>
            <w:r>
              <w:rPr>
                <w:sz w:val="18"/>
                <w:szCs w:val="1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 Мероприятия Задачи 2 Подпрограммы 2</w:t>
            </w:r>
            <w:r>
              <w:rPr>
                <w:sz w:val="18"/>
                <w:szCs w:val="18"/>
              </w:rPr>
              <w:t xml:space="preserve"> «Количество проведенных </w:t>
            </w:r>
            <w:proofErr w:type="gramStart"/>
            <w:r>
              <w:rPr>
                <w:sz w:val="18"/>
                <w:szCs w:val="1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Подпрограмма  3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«Обеспечение жильем молодых семей»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Подпрограммы 3 «</w:t>
            </w:r>
            <w:r>
              <w:rPr>
                <w:sz w:val="18"/>
                <w:szCs w:val="1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Показатель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Задача  1 Подпрограммы 3   </w:t>
            </w:r>
            <w:r>
              <w:rPr>
                <w:sz w:val="18"/>
                <w:szCs w:val="1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1  Задача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1 Подпрограммы 3 </w:t>
            </w:r>
            <w:r>
              <w:rPr>
                <w:sz w:val="18"/>
                <w:szCs w:val="18"/>
              </w:rPr>
              <w:t xml:space="preserve"> «Расходы на реализацию мероприятий по </w:t>
            </w:r>
            <w:proofErr w:type="spellStart"/>
            <w:r>
              <w:rPr>
                <w:sz w:val="18"/>
                <w:szCs w:val="18"/>
              </w:rPr>
              <w:t>обеспечекнию</w:t>
            </w:r>
            <w:proofErr w:type="spellEnd"/>
            <w:r>
              <w:rPr>
                <w:sz w:val="18"/>
                <w:szCs w:val="1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1  Задача  1 Подпрограммы 3</w:t>
            </w:r>
            <w:r>
              <w:rPr>
                <w:sz w:val="18"/>
                <w:szCs w:val="1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Мероприятие 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 3</w:t>
            </w:r>
            <w:r>
              <w:rPr>
                <w:color w:val="000000"/>
                <w:sz w:val="18"/>
                <w:szCs w:val="1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Показатель 1 мероприятия 2 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 3«</w:t>
            </w:r>
            <w:r>
              <w:rPr>
                <w:color w:val="000000"/>
                <w:sz w:val="18"/>
                <w:szCs w:val="1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2 "</w:t>
            </w:r>
            <w:r>
              <w:rPr>
                <w:sz w:val="18"/>
                <w:szCs w:val="1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 2 Подпрограммы 3</w:t>
            </w:r>
            <w:r>
              <w:rPr>
                <w:color w:val="000000"/>
                <w:sz w:val="18"/>
                <w:szCs w:val="1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Показатель 1 Мероприятие 1 Задачи 2 Подпрограммы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End"/>
            <w:r>
              <w:rPr>
                <w:color w:val="000000"/>
                <w:sz w:val="18"/>
                <w:szCs w:val="1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2 Подпрограммы 3</w:t>
            </w:r>
            <w:r>
              <w:rPr>
                <w:color w:val="000000"/>
                <w:sz w:val="18"/>
                <w:szCs w:val="1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Показатель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color w:val="000000"/>
                <w:sz w:val="18"/>
                <w:szCs w:val="1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81B0B" w:rsidRPr="006C2177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65EE9"/>
    <w:rsid w:val="00080366"/>
    <w:rsid w:val="000A1541"/>
    <w:rsid w:val="00104807"/>
    <w:rsid w:val="00107D4B"/>
    <w:rsid w:val="001166DB"/>
    <w:rsid w:val="001167E0"/>
    <w:rsid w:val="00132D1B"/>
    <w:rsid w:val="001457B0"/>
    <w:rsid w:val="00156D3A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11C16"/>
    <w:rsid w:val="00434B80"/>
    <w:rsid w:val="0046485A"/>
    <w:rsid w:val="00484961"/>
    <w:rsid w:val="004861CF"/>
    <w:rsid w:val="0049282E"/>
    <w:rsid w:val="004B00A7"/>
    <w:rsid w:val="004B7576"/>
    <w:rsid w:val="004C621C"/>
    <w:rsid w:val="004E6F1D"/>
    <w:rsid w:val="005350DF"/>
    <w:rsid w:val="00535303"/>
    <w:rsid w:val="00553C6D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27294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47BC1"/>
    <w:rsid w:val="007643C1"/>
    <w:rsid w:val="007867F8"/>
    <w:rsid w:val="007919D0"/>
    <w:rsid w:val="00795997"/>
    <w:rsid w:val="007C14B0"/>
    <w:rsid w:val="007C73AF"/>
    <w:rsid w:val="007E3F21"/>
    <w:rsid w:val="007E5B32"/>
    <w:rsid w:val="007E5BFD"/>
    <w:rsid w:val="00806BF6"/>
    <w:rsid w:val="0081620B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12C97"/>
    <w:rsid w:val="00932B92"/>
    <w:rsid w:val="00941D4B"/>
    <w:rsid w:val="00961A39"/>
    <w:rsid w:val="00962E97"/>
    <w:rsid w:val="009639E7"/>
    <w:rsid w:val="00987088"/>
    <w:rsid w:val="009939A4"/>
    <w:rsid w:val="009B4C10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3A13"/>
    <w:rsid w:val="00B4526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54ECB"/>
    <w:rsid w:val="00C57619"/>
    <w:rsid w:val="00CA171F"/>
    <w:rsid w:val="00CB57F4"/>
    <w:rsid w:val="00CC0A8B"/>
    <w:rsid w:val="00CC1FE9"/>
    <w:rsid w:val="00CC55C1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3EF1"/>
    <w:rsid w:val="00E80E6D"/>
    <w:rsid w:val="00EA43D0"/>
    <w:rsid w:val="00EA6898"/>
    <w:rsid w:val="00EC1D57"/>
    <w:rsid w:val="00EC4AF6"/>
    <w:rsid w:val="00F1465C"/>
    <w:rsid w:val="00F2759A"/>
    <w:rsid w:val="00F36065"/>
    <w:rsid w:val="00F507BA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спорта</cp:lastModifiedBy>
  <cp:revision>5</cp:revision>
  <cp:lastPrinted>2022-07-05T11:35:00Z</cp:lastPrinted>
  <dcterms:created xsi:type="dcterms:W3CDTF">2022-06-20T05:48:00Z</dcterms:created>
  <dcterms:modified xsi:type="dcterms:W3CDTF">2022-07-05T12:22:00Z</dcterms:modified>
</cp:coreProperties>
</file>