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14B9CCCF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22557D">
        <w:rPr>
          <w:sz w:val="28"/>
          <w:szCs w:val="28"/>
          <w:u w:val="single"/>
        </w:rPr>
        <w:t>91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22557D">
        <w:rPr>
          <w:sz w:val="28"/>
          <w:szCs w:val="28"/>
          <w:u w:val="single"/>
        </w:rPr>
        <w:t>февраля</w:t>
      </w:r>
      <w:r w:rsidR="004C7831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475C4D">
        <w:rPr>
          <w:sz w:val="28"/>
          <w:szCs w:val="28"/>
          <w:u w:val="single"/>
        </w:rPr>
        <w:t>3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22557D">
        <w:rPr>
          <w:sz w:val="28"/>
          <w:szCs w:val="28"/>
        </w:rPr>
        <w:t xml:space="preserve"> </w:t>
      </w:r>
      <w:bookmarkStart w:id="0" w:name="_GoBack"/>
      <w:r w:rsidR="0022557D" w:rsidRPr="0022557D">
        <w:rPr>
          <w:sz w:val="28"/>
          <w:szCs w:val="28"/>
          <w:u w:val="single"/>
        </w:rPr>
        <w:t>91</w:t>
      </w:r>
      <w:bookmarkEnd w:id="0"/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77777777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337303" w:rsidRPr="009B0DC9" w:rsidRDefault="00F63A80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61656261" w:rsidR="00337303" w:rsidRPr="009B0DC9" w:rsidRDefault="004B3F48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2648000,00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44CFFDF9" w:rsidR="00337303" w:rsidRPr="009B0DC9" w:rsidRDefault="00F63A80" w:rsidP="00F63A80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11325074,80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7777777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1 Капитальный ремонт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58D8A961" w:rsidR="00337303" w:rsidRPr="009B0DC9" w:rsidRDefault="004B3F48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1038000,0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4CE1996D" w:rsidR="00337303" w:rsidRPr="009B0DC9" w:rsidRDefault="004B3F48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3927630,0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77777777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2018-2023 годы</w:t>
                  </w:r>
                </w:p>
              </w:tc>
            </w:tr>
            <w:tr w:rsidR="00337303" w:rsidRPr="007F3923" w14:paraId="1EE7E8E0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337303" w:rsidRDefault="00F63A80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540CEA75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</w:t>
                  </w:r>
                  <w:r w:rsidR="004B3F48">
                    <w:rPr>
                      <w:sz w:val="18"/>
                      <w:szCs w:val="18"/>
                    </w:rPr>
                    <w:t>4</w:t>
                  </w:r>
                  <w:r w:rsidRPr="00B557B1">
                    <w:rPr>
                      <w:sz w:val="18"/>
                      <w:szCs w:val="18"/>
                    </w:rPr>
                    <w:t>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3FB860AD" w:rsidR="00337303" w:rsidRPr="009B0DC9" w:rsidRDefault="00F63A80" w:rsidP="00F63A80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7397444,80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77777777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 xml:space="preserve">Капитальный ремонт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77777777" w:rsidR="00E57C77" w:rsidRDefault="00E57C77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77777777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77777777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73BD5D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есть муниципальная собственность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611C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77777777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2748DFCA" w:rsidR="00C23433" w:rsidRPr="003A7A1A" w:rsidRDefault="00C23433" w:rsidP="00C23433">
      <w:pPr>
        <w:ind w:firstLine="708"/>
        <w:jc w:val="both"/>
      </w:pPr>
      <w:r w:rsidRPr="003A7A1A">
        <w:t xml:space="preserve">Общий объем бюджетных средств, необходимых на реализацию Подпрограммы, составляет </w:t>
      </w:r>
      <w:r w:rsidR="009403BC">
        <w:t>3927630,00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2861088C" w:rsidR="001B6699" w:rsidRPr="008A4C9B" w:rsidRDefault="009403BC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7ED98B0E" w:rsidR="001B6699" w:rsidRDefault="009403BC">
            <w:r>
              <w:rPr>
                <w:sz w:val="20"/>
                <w:szCs w:val="20"/>
              </w:rPr>
              <w:t>10</w:t>
            </w:r>
            <w:r w:rsidR="001B6699" w:rsidRPr="00A16697">
              <w:rPr>
                <w:sz w:val="20"/>
                <w:szCs w:val="20"/>
              </w:rPr>
              <w:t>00000,0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домах, в части муниципального жилищного фонда </w:t>
            </w:r>
            <w:r w:rsidRPr="008A4C9B">
              <w:rPr>
                <w:sz w:val="20"/>
                <w:szCs w:val="20"/>
              </w:rPr>
              <w:lastRenderedPageBreak/>
              <w:t>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16134814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403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00000,0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2F9D7F87" w:rsidR="001B6699" w:rsidRDefault="009403BC" w:rsidP="00E53E04">
            <w:r>
              <w:rPr>
                <w:sz w:val="20"/>
                <w:szCs w:val="20"/>
              </w:rPr>
              <w:t>10</w:t>
            </w:r>
            <w:r w:rsidR="001B6699" w:rsidRPr="00A16697">
              <w:rPr>
                <w:sz w:val="20"/>
                <w:szCs w:val="20"/>
              </w:rPr>
              <w:t>00000,0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11EB7531" w:rsidR="00553FB8" w:rsidRPr="008A4C9B" w:rsidRDefault="009403BC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427630,00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0BE7185F" w:rsidR="001B6699" w:rsidRPr="008A4C9B" w:rsidRDefault="009403BC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427630,00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53EEDDC4" w:rsidR="001B6699" w:rsidRPr="008A4C9B" w:rsidRDefault="009403BC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118C5CC6" w:rsidR="001B6699" w:rsidRPr="008A4C9B" w:rsidRDefault="009403BC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3927630,0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2BC551E1" w:rsidR="001B6699" w:rsidRPr="001B6699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1038000,00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CD10B39" w14:textId="77777777" w:rsidR="00205CC4" w:rsidRDefault="00205CC4" w:rsidP="00E031E3">
      <w:pPr>
        <w:pStyle w:val="ConsPlusCell"/>
        <w:widowControl/>
        <w:jc w:val="center"/>
      </w:pPr>
    </w:p>
    <w:p w14:paraId="3AA84C3E" w14:textId="77777777" w:rsidR="00C23433" w:rsidRDefault="00C23433" w:rsidP="00E031E3">
      <w:pPr>
        <w:pStyle w:val="ConsPlusCell"/>
        <w:widowControl/>
        <w:jc w:val="center"/>
      </w:pPr>
    </w:p>
    <w:p w14:paraId="6581CBC0" w14:textId="77777777" w:rsidR="00C23433" w:rsidRDefault="00C23433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77777777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39ABDD50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235199">
        <w:t>7397444,80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3265C3AE" w:rsidR="003364EC" w:rsidRPr="009B0DC9" w:rsidRDefault="00235199" w:rsidP="009A383E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7397444,80</w:t>
            </w:r>
          </w:p>
        </w:tc>
        <w:tc>
          <w:tcPr>
            <w:tcW w:w="1276" w:type="dxa"/>
          </w:tcPr>
          <w:p w14:paraId="4D620768" w14:textId="2357FAE6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7ACFD8BF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6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lastRenderedPageBreak/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16D98795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83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3364EC" w:rsidRDefault="009A383E">
            <w:r>
              <w:rPr>
                <w:sz w:val="20"/>
                <w:szCs w:val="20"/>
              </w:rPr>
              <w:t>15</w:t>
            </w:r>
            <w:r w:rsidR="003364EC"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2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77777777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>Завершение реализации адресной программы по переселению граждан из аварийного жилищного фонда муниципального образования "Городское поселение - г.Осташков"</w:t>
            </w:r>
          </w:p>
        </w:tc>
        <w:tc>
          <w:tcPr>
            <w:tcW w:w="1162" w:type="dxa"/>
            <w:shd w:val="clear" w:color="auto" w:fill="auto"/>
          </w:tcPr>
          <w:p w14:paraId="11849A50" w14:textId="138BCCC5" w:rsidR="003364EC" w:rsidRPr="009B0DC9" w:rsidRDefault="00235199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7232444,80</w:t>
            </w:r>
          </w:p>
        </w:tc>
        <w:tc>
          <w:tcPr>
            <w:tcW w:w="1276" w:type="dxa"/>
          </w:tcPr>
          <w:p w14:paraId="27209CD8" w14:textId="0B8379D3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2D42DC17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6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2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3A7B7660" w:rsidR="00DC48B3" w:rsidRPr="009B0DC9" w:rsidRDefault="00235199" w:rsidP="009A383E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7397444,80</w:t>
            </w:r>
          </w:p>
        </w:tc>
        <w:tc>
          <w:tcPr>
            <w:tcW w:w="1276" w:type="dxa"/>
          </w:tcPr>
          <w:p w14:paraId="006BEAA2" w14:textId="720DCAC4" w:rsidR="00DC48B3" w:rsidRPr="009B0DC9" w:rsidRDefault="002351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25748AA0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6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</w:t>
      </w:r>
      <w:r>
        <w:lastRenderedPageBreak/>
        <w:t xml:space="preserve">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641F95AC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226EE"/>
    <w:rsid w:val="000404A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2557D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35680"/>
    <w:rsid w:val="00457AFE"/>
    <w:rsid w:val="00473F94"/>
    <w:rsid w:val="00475C4D"/>
    <w:rsid w:val="00486DCA"/>
    <w:rsid w:val="00496BC8"/>
    <w:rsid w:val="004B3F48"/>
    <w:rsid w:val="004C0983"/>
    <w:rsid w:val="004C7831"/>
    <w:rsid w:val="004D4A2C"/>
    <w:rsid w:val="004F2547"/>
    <w:rsid w:val="004F5BDF"/>
    <w:rsid w:val="004F6DC4"/>
    <w:rsid w:val="00503047"/>
    <w:rsid w:val="00507F1C"/>
    <w:rsid w:val="00526294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801FFB"/>
    <w:rsid w:val="00814542"/>
    <w:rsid w:val="0081613C"/>
    <w:rsid w:val="00817FA1"/>
    <w:rsid w:val="00835415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E3C95"/>
    <w:rsid w:val="008E439A"/>
    <w:rsid w:val="008E6134"/>
    <w:rsid w:val="009020A0"/>
    <w:rsid w:val="00907B6C"/>
    <w:rsid w:val="009220AE"/>
    <w:rsid w:val="009311BF"/>
    <w:rsid w:val="009403BC"/>
    <w:rsid w:val="00940EAA"/>
    <w:rsid w:val="00971716"/>
    <w:rsid w:val="0097402D"/>
    <w:rsid w:val="00982FB3"/>
    <w:rsid w:val="009873D8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5283"/>
    <w:rsid w:val="00C847E9"/>
    <w:rsid w:val="00C8663C"/>
    <w:rsid w:val="00C96A0E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63A80"/>
    <w:rsid w:val="00F76D10"/>
    <w:rsid w:val="00F823BA"/>
    <w:rsid w:val="00FB33A0"/>
    <w:rsid w:val="00FB6DD2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5F13-DF50-4751-BA91-3991009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14</cp:revision>
  <cp:lastPrinted>2022-11-30T13:35:00Z</cp:lastPrinted>
  <dcterms:created xsi:type="dcterms:W3CDTF">2022-10-19T11:56:00Z</dcterms:created>
  <dcterms:modified xsi:type="dcterms:W3CDTF">2023-02-09T05:38:00Z</dcterms:modified>
</cp:coreProperties>
</file>