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F55391" w:rsidRPr="0021038C">
        <w:rPr>
          <w:rFonts w:ascii="Times New Roman" w:hAnsi="Times New Roman"/>
          <w:sz w:val="24"/>
          <w:szCs w:val="24"/>
        </w:rPr>
        <w:t xml:space="preserve">от </w:t>
      </w:r>
      <w:r w:rsidR="00D16008">
        <w:rPr>
          <w:rFonts w:ascii="Times New Roman" w:hAnsi="Times New Roman"/>
          <w:sz w:val="24"/>
          <w:szCs w:val="24"/>
        </w:rPr>
        <w:t>26.06.2023</w:t>
      </w:r>
      <w:r w:rsidR="0039440B">
        <w:rPr>
          <w:rFonts w:ascii="Times New Roman" w:hAnsi="Times New Roman"/>
          <w:sz w:val="24"/>
          <w:szCs w:val="24"/>
        </w:rPr>
        <w:t xml:space="preserve"> 2023</w:t>
      </w:r>
      <w:r w:rsidR="00F55391" w:rsidRPr="0021038C">
        <w:rPr>
          <w:rFonts w:ascii="Times New Roman" w:hAnsi="Times New Roman"/>
          <w:sz w:val="24"/>
          <w:szCs w:val="24"/>
        </w:rPr>
        <w:t xml:space="preserve"> г.</w:t>
      </w:r>
      <w:r w:rsidR="00714810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80DBE">
        <w:rPr>
          <w:rFonts w:ascii="Times New Roman" w:hAnsi="Times New Roman"/>
          <w:sz w:val="24"/>
          <w:szCs w:val="24"/>
        </w:rPr>
        <w:t xml:space="preserve"> </w:t>
      </w:r>
      <w:r w:rsidR="00D16008">
        <w:rPr>
          <w:rFonts w:ascii="Times New Roman" w:hAnsi="Times New Roman"/>
          <w:sz w:val="24"/>
          <w:szCs w:val="24"/>
        </w:rPr>
        <w:t>589</w:t>
      </w:r>
      <w:bookmarkStart w:id="0" w:name="_GoBack"/>
      <w:bookmarkEnd w:id="0"/>
      <w:r w:rsidR="00A03002" w:rsidRPr="0021038C">
        <w:rPr>
          <w:rFonts w:ascii="Times New Roman" w:hAnsi="Times New Roman"/>
          <w:sz w:val="24"/>
          <w:szCs w:val="24"/>
        </w:rPr>
        <w:t xml:space="preserve"> 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14810">
        <w:rPr>
          <w:rFonts w:ascii="Times New Roman" w:hAnsi="Times New Roman"/>
          <w:sz w:val="28"/>
          <w:szCs w:val="28"/>
        </w:rPr>
        <w:t>3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81757B" w:rsidRPr="0081757B">
              <w:rPr>
                <w:rFonts w:ascii="Times New Roman" w:hAnsi="Times New Roman"/>
                <w:bCs/>
              </w:rPr>
              <w:t>2 16</w:t>
            </w:r>
            <w:r w:rsidR="009A072A">
              <w:rPr>
                <w:rFonts w:ascii="Times New Roman" w:hAnsi="Times New Roman"/>
                <w:bCs/>
              </w:rPr>
              <w:t>3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129</w:t>
            </w:r>
            <w:r w:rsidR="0081757B" w:rsidRPr="0081757B">
              <w:rPr>
                <w:rFonts w:ascii="Times New Roman" w:hAnsi="Times New Roman"/>
                <w:bCs/>
              </w:rPr>
              <w:t xml:space="preserve"> </w:t>
            </w:r>
            <w:r w:rsidR="009A072A">
              <w:rPr>
                <w:rFonts w:ascii="Times New Roman" w:hAnsi="Times New Roman"/>
                <w:bCs/>
              </w:rPr>
              <w:t>281</w:t>
            </w:r>
            <w:r w:rsidR="0081757B" w:rsidRPr="0081757B">
              <w:rPr>
                <w:rFonts w:ascii="Times New Roman" w:hAnsi="Times New Roman"/>
                <w:bCs/>
              </w:rPr>
              <w:t>,77</w:t>
            </w:r>
            <w:r w:rsidR="0081757B" w:rsidRPr="0081757B">
              <w:rPr>
                <w:rFonts w:ascii="Times New Roman" w:hAnsi="Times New Roman"/>
                <w:b w:val="0"/>
                <w:bCs/>
              </w:rPr>
              <w:t xml:space="preserve">  </w:t>
            </w:r>
            <w:r w:rsidR="007F1ACF" w:rsidRPr="0021038C">
              <w:rPr>
                <w:rFonts w:ascii="Times New Roman" w:hAnsi="Times New Roman"/>
                <w:bCs/>
              </w:rPr>
              <w:t>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360866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6C734C">
              <w:rPr>
                <w:rFonts w:ascii="Times New Roman" w:hAnsi="Times New Roman"/>
                <w:bCs/>
              </w:rPr>
              <w:t>1 </w:t>
            </w:r>
            <w:r w:rsidR="008130B7">
              <w:rPr>
                <w:rFonts w:ascii="Times New Roman" w:hAnsi="Times New Roman"/>
                <w:bCs/>
              </w:rPr>
              <w:t>24</w:t>
            </w:r>
            <w:r w:rsidR="009A072A">
              <w:rPr>
                <w:rFonts w:ascii="Times New Roman" w:hAnsi="Times New Roman"/>
                <w:bCs/>
              </w:rPr>
              <w:t>2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197</w:t>
            </w:r>
            <w:r w:rsidR="006C734C">
              <w:rPr>
                <w:rFonts w:ascii="Times New Roman" w:hAnsi="Times New Roman"/>
                <w:bCs/>
              </w:rPr>
              <w:t> </w:t>
            </w:r>
            <w:r w:rsidR="009A072A">
              <w:rPr>
                <w:rFonts w:ascii="Times New Roman" w:hAnsi="Times New Roman"/>
                <w:bCs/>
              </w:rPr>
              <w:t>893</w:t>
            </w:r>
            <w:r w:rsidR="006C734C">
              <w:rPr>
                <w:rFonts w:ascii="Times New Roman" w:hAnsi="Times New Roman"/>
                <w:bCs/>
              </w:rPr>
              <w:t>,4</w:t>
            </w:r>
            <w:r w:rsidR="008130B7">
              <w:rPr>
                <w:rFonts w:ascii="Times New Roman" w:hAnsi="Times New Roman"/>
                <w:bCs/>
              </w:rPr>
              <w:t>3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областного бюджета, </w:t>
            </w:r>
          </w:p>
          <w:p w:rsidR="00CB0000" w:rsidRPr="0021038C" w:rsidRDefault="0081757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091</w:t>
            </w:r>
            <w:r w:rsidR="00BF7A0E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100</w:t>
            </w:r>
            <w:r w:rsidR="00BF7A0E">
              <w:rPr>
                <w:rFonts w:ascii="Times New Roman" w:hAnsi="Times New Roman"/>
                <w:bCs/>
              </w:rPr>
              <w:t>,00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DE5B73" w:rsidRPr="0021038C" w:rsidTr="006E6878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DE5B73" w:rsidRPr="0021038C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</w:t>
                  </w:r>
                  <w:r w:rsidR="00C147E5"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70008</w:t>
                  </w:r>
                  <w:r w:rsidRPr="00DE5B73"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6F3AAB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  <w:r w:rsidR="00360866">
                    <w:rPr>
                      <w:sz w:val="18"/>
                      <w:szCs w:val="18"/>
                    </w:rPr>
                    <w:t>4</w:t>
                  </w:r>
                  <w:r w:rsidR="006F3AAB">
                    <w:rPr>
                      <w:sz w:val="18"/>
                      <w:szCs w:val="18"/>
                    </w:rPr>
                    <w:t>545382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6F3AAB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236352375,03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227892182,46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E5B73" w:rsidRPr="00DE5B73" w:rsidRDefault="00DE5B73" w:rsidP="00DE5B7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205953923,57</w:t>
                  </w:r>
                </w:p>
              </w:tc>
            </w:tr>
            <w:tr w:rsidR="006E6878" w:rsidRPr="0021038C" w:rsidTr="006E6878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E6878" w:rsidRPr="0021038C" w:rsidRDefault="006E6878" w:rsidP="006E6878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141</w:t>
                  </w:r>
                  <w:r w:rsidR="00E504BF">
                    <w:rPr>
                      <w:sz w:val="18"/>
                      <w:szCs w:val="18"/>
                    </w:rPr>
                    <w:t>169598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E504BF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F3AAB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  <w:r w:rsidR="006F3AAB">
                    <w:rPr>
                      <w:sz w:val="18"/>
                      <w:szCs w:val="18"/>
                    </w:rPr>
                    <w:t>61244</w:t>
                  </w:r>
                  <w:r>
                    <w:rPr>
                      <w:sz w:val="18"/>
                      <w:szCs w:val="18"/>
                    </w:rPr>
                    <w:t>98,75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137155240,99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E6878" w:rsidRPr="006E6878" w:rsidRDefault="00512672" w:rsidP="006E687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104421995,34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512672" w:rsidRPr="0021038C" w:rsidTr="00F55DB6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564</w:t>
                  </w:r>
                  <w:r w:rsidR="00C147E5">
                    <w:rPr>
                      <w:sz w:val="18"/>
                      <w:szCs w:val="18"/>
                    </w:rPr>
                    <w:t>5</w:t>
                  </w:r>
                  <w:r w:rsidR="00E504BF">
                    <w:rPr>
                      <w:sz w:val="18"/>
                      <w:szCs w:val="18"/>
                    </w:rPr>
                    <w:t>11</w:t>
                  </w:r>
                  <w:r w:rsidR="00C147E5">
                    <w:rPr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4C7725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5808830,29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6011790,29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6011789,29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512672" w:rsidRDefault="00512672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7E5953" w:rsidRDefault="006C734C" w:rsidP="00C147E5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C147E5">
                    <w:rPr>
                      <w:sz w:val="18"/>
                      <w:szCs w:val="18"/>
                    </w:rPr>
                    <w:t>85184649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C147E5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6F3AAB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A072A">
                    <w:rPr>
                      <w:sz w:val="18"/>
                      <w:szCs w:val="18"/>
                    </w:rPr>
                    <w:t>9</w:t>
                  </w:r>
                  <w:r w:rsidR="006F3AAB">
                    <w:rPr>
                      <w:sz w:val="18"/>
                      <w:szCs w:val="18"/>
                    </w:rPr>
                    <w:t>6606805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="006F3AAB">
                    <w:rPr>
                      <w:sz w:val="18"/>
                      <w:szCs w:val="18"/>
                    </w:rPr>
                    <w:t>7</w:t>
                  </w:r>
                  <w:r w:rsidR="009A072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99466B">
                    <w:rPr>
                      <w:sz w:val="18"/>
                      <w:szCs w:val="18"/>
                    </w:rPr>
                    <w:t>79519406,3</w:t>
                  </w:r>
                  <w:r w:rsidR="00E504B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E504B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504BF">
                    <w:rPr>
                      <w:sz w:val="18"/>
                      <w:szCs w:val="18"/>
                    </w:rPr>
                    <w:t>71059212,74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D3F66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316038322,62</w:t>
                  </w:r>
                </w:p>
              </w:tc>
            </w:tr>
            <w:tr w:rsidR="00512672" w:rsidRPr="0021038C" w:rsidTr="00C07CC1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12672" w:rsidRPr="0021038C" w:rsidRDefault="00512672" w:rsidP="00512672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9466B" w:rsidRPr="00512672" w:rsidRDefault="0099466B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215926341,47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D7037C" w:rsidP="006F3AAB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D7037C">
                    <w:rPr>
                      <w:sz w:val="18"/>
                      <w:szCs w:val="18"/>
                    </w:rPr>
                    <w:t>246377852,85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D7037C" w:rsidP="0051267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D7037C">
                    <w:rPr>
                      <w:sz w:val="18"/>
                      <w:szCs w:val="18"/>
                    </w:rPr>
                    <w:t>241857851,85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2672" w:rsidRPr="00D7037C" w:rsidRDefault="00D7037C" w:rsidP="00ED0AC2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D7037C">
                    <w:rPr>
                      <w:sz w:val="18"/>
                      <w:szCs w:val="18"/>
                    </w:rPr>
                    <w:t>241535151,85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C07CC1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C07CC1">
                    <w:rPr>
                      <w:sz w:val="18"/>
                      <w:szCs w:val="18"/>
                    </w:rPr>
                    <w:t>177821981,23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2672" w:rsidRPr="00C07CC1" w:rsidRDefault="0037008F" w:rsidP="003700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 w:rsidRPr="00C07CC1">
                    <w:rPr>
                      <w:sz w:val="18"/>
                      <w:szCs w:val="18"/>
                    </w:rPr>
                    <w:t>177821981</w:t>
                  </w:r>
                  <w:r w:rsidR="00512672" w:rsidRPr="00C07CC1">
                    <w:rPr>
                      <w:sz w:val="18"/>
                      <w:szCs w:val="18"/>
                    </w:rPr>
                    <w:t>,</w:t>
                  </w:r>
                  <w:r w:rsidRPr="00C07CC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5" w:type="dxa"/>
                </w:tcPr>
                <w:p w:rsidR="00512672" w:rsidRPr="0021038C" w:rsidRDefault="00512672" w:rsidP="00512672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C07CC1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18898478,72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99466B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3B5DE4">
                    <w:rPr>
                      <w:sz w:val="18"/>
                      <w:szCs w:val="18"/>
                    </w:rPr>
                    <w:t>2</w:t>
                  </w:r>
                  <w:r w:rsidR="003B5DE4" w:rsidRPr="003B5DE4">
                    <w:rPr>
                      <w:sz w:val="18"/>
                      <w:szCs w:val="18"/>
                    </w:rPr>
                    <w:t>2575443,80</w:t>
                  </w:r>
                </w:p>
                <w:p w:rsidR="00B930DD" w:rsidRPr="00C07CC1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4C7725" w:rsidRDefault="003B5DE4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  <w:highlight w:val="yellow"/>
                    </w:rPr>
                  </w:pPr>
                  <w:r w:rsidRPr="003B5DE4">
                    <w:rPr>
                      <w:rStyle w:val="10pt"/>
                      <w:color w:val="auto"/>
                      <w:sz w:val="18"/>
                      <w:szCs w:val="18"/>
                    </w:rPr>
                    <w:t>21008577,80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4C7725" w:rsidRDefault="003B5DE4" w:rsidP="0099466B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  <w:highlight w:val="yellow"/>
                    </w:rPr>
                  </w:pPr>
                  <w:r w:rsidRPr="003B5DE4">
                    <w:rPr>
                      <w:rStyle w:val="10pt"/>
                      <w:color w:val="auto"/>
                      <w:sz w:val="18"/>
                      <w:szCs w:val="18"/>
                    </w:rPr>
                    <w:t>20653355,60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C07CC1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C07CC1"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30DD" w:rsidRPr="00C07CC1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C07CC1"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502F" w:rsidRDefault="007C502F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 xml:space="preserve">руководителей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B9515F" w:rsidRDefault="00B9515F" w:rsidP="006E1684">
      <w:pPr>
        <w:pStyle w:val="af2"/>
        <w:ind w:hanging="284"/>
        <w:jc w:val="both"/>
      </w:pPr>
      <w:r>
        <w:t xml:space="preserve">    д) </w:t>
      </w:r>
      <w:r w:rsidRPr="00B9515F">
        <w:rPr>
          <w:u w:val="single"/>
        </w:rPr>
        <w:t>Мероприятие 5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областного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Pr="00B9515F">
        <w:t>Показатель 1 мероприятия 5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B9515F" w:rsidRDefault="00B9515F" w:rsidP="006E1684">
      <w:pPr>
        <w:pStyle w:val="af2"/>
        <w:ind w:hanging="284"/>
        <w:jc w:val="both"/>
      </w:pPr>
      <w:r>
        <w:lastRenderedPageBreak/>
        <w:t xml:space="preserve">    е) </w:t>
      </w:r>
      <w:r w:rsidRPr="00053748">
        <w:rPr>
          <w:u w:val="single"/>
        </w:rPr>
        <w:t>Мероприятие 6</w:t>
      </w:r>
      <w:r w:rsidRPr="00B9515F">
        <w:t xml:space="preserve"> задачи 2 подпрограммы 1 "Реализация проектов в рамках поддержки школьных инициатив Тверской области" за счет средств местного бюджета</w:t>
      </w:r>
    </w:p>
    <w:p w:rsidR="00B9515F" w:rsidRDefault="00B9515F" w:rsidP="006E1684">
      <w:pPr>
        <w:pStyle w:val="af2"/>
        <w:ind w:hanging="284"/>
        <w:jc w:val="both"/>
      </w:pPr>
      <w:r>
        <w:t xml:space="preserve">    - </w:t>
      </w:r>
      <w:r w:rsidR="00053748" w:rsidRPr="00053748">
        <w:t>Показатель 1 мероприятия 6 задачи 2 подпрограммы 1 "Количество организаций, принявших участие в реализации проектов в рамках поддержки школьных инициатив Тверской области"</w:t>
      </w:r>
    </w:p>
    <w:p w:rsidR="00053748" w:rsidRPr="0021038C" w:rsidRDefault="00053748" w:rsidP="006E1684">
      <w:pPr>
        <w:pStyle w:val="af2"/>
        <w:ind w:hanging="284"/>
        <w:jc w:val="both"/>
      </w:pPr>
      <w:r>
        <w:t xml:space="preserve">    ж) </w:t>
      </w:r>
      <w:r w:rsidRPr="00053748">
        <w:rPr>
          <w:u w:val="single"/>
        </w:rPr>
        <w:t>Мероприятие 7</w:t>
      </w:r>
      <w:r w:rsidRPr="00053748">
        <w:t xml:space="preserve"> задачи 2 подпрограммы 1 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</w:r>
    </w:p>
    <w:p w:rsidR="00053748" w:rsidRPr="0021038C" w:rsidRDefault="00053748" w:rsidP="008634FE">
      <w:pPr>
        <w:pStyle w:val="af2"/>
        <w:jc w:val="both"/>
      </w:pPr>
      <w:r>
        <w:t xml:space="preserve">- </w:t>
      </w:r>
      <w:r w:rsidRPr="00053748">
        <w:t>Показатель 1 мероприятия 7 задачи 2 подпрограммы 1 "Количество организаций, принявших участие в реализации мероприятий"</w:t>
      </w: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>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387AF5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387AF5">
        <w:rPr>
          <w:rFonts w:ascii="Times New Roman" w:hAnsi="Times New Roman"/>
          <w:sz w:val="28"/>
          <w:szCs w:val="28"/>
          <w:u w:val="single"/>
        </w:rPr>
        <w:t>Мероприятие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 "Независимая оценка качества образования, за счёт средств местного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387AF5" w:rsidRPr="0021038C" w:rsidRDefault="00387AF5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387AF5">
        <w:rPr>
          <w:rFonts w:ascii="Times New Roman" w:hAnsi="Times New Roman"/>
          <w:sz w:val="28"/>
          <w:szCs w:val="28"/>
          <w:u w:val="single"/>
        </w:rPr>
        <w:t>- Показатель 1 мероприятия 4</w:t>
      </w:r>
      <w:r w:rsidRPr="00387AF5">
        <w:rPr>
          <w:rFonts w:ascii="Times New Roman" w:hAnsi="Times New Roman"/>
          <w:sz w:val="28"/>
          <w:szCs w:val="28"/>
        </w:rPr>
        <w:t xml:space="preserve"> задачи 5 подпрограммы 1"Количество организаций, принявших участие в независимой оценке качества образования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885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481"/>
      </w:tblGrid>
      <w:tr w:rsidR="004A2AFB" w:rsidRPr="0021038C" w:rsidTr="0043355D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4D3F6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1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43355D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F55DB6" w:rsidRPr="0043355D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008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36086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F3AAB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F3AAB">
              <w:rPr>
                <w:rFonts w:ascii="Times New Roman" w:hAnsi="Times New Roman"/>
                <w:sz w:val="18"/>
                <w:szCs w:val="18"/>
              </w:rPr>
              <w:t>382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F3AAB">
              <w:rPr>
                <w:rFonts w:ascii="Times New Roman" w:hAnsi="Times New Roman"/>
                <w:sz w:val="18"/>
                <w:szCs w:val="18"/>
              </w:rPr>
              <w:t>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3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236 352 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375,03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227 892 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182,46   </w:t>
            </w:r>
          </w:p>
        </w:tc>
        <w:tc>
          <w:tcPr>
            <w:tcW w:w="1260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259" w:type="dxa"/>
            <w:vAlign w:val="center"/>
          </w:tcPr>
          <w:p w:rsidR="00F55DB6" w:rsidRPr="0043355D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205 953 923,57</w:t>
            </w:r>
          </w:p>
        </w:tc>
        <w:tc>
          <w:tcPr>
            <w:tcW w:w="1481" w:type="dxa"/>
            <w:vAlign w:val="center"/>
          </w:tcPr>
          <w:p w:rsidR="00F55DB6" w:rsidRPr="0043355D" w:rsidRDefault="00F55DB6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6F3AAB">
              <w:rPr>
                <w:rFonts w:ascii="Times New Roman" w:hAnsi="Times New Roman"/>
                <w:sz w:val="18"/>
                <w:szCs w:val="18"/>
              </w:rPr>
              <w:t>359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3AAB">
              <w:rPr>
                <w:rFonts w:ascii="Times New Roman" w:hAnsi="Times New Roman"/>
                <w:sz w:val="18"/>
                <w:szCs w:val="18"/>
              </w:rPr>
              <w:t>067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3AAB">
              <w:rPr>
                <w:rFonts w:ascii="Times New Roman" w:hAnsi="Times New Roman"/>
                <w:sz w:val="18"/>
                <w:szCs w:val="18"/>
              </w:rPr>
              <w:t>795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F3AAB">
              <w:rPr>
                <w:rFonts w:ascii="Times New Roman" w:hAnsi="Times New Roman"/>
                <w:sz w:val="18"/>
                <w:szCs w:val="18"/>
              </w:rPr>
              <w:t>42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F55DB6" w:rsidRPr="0021038C" w:rsidTr="0043355D">
        <w:tc>
          <w:tcPr>
            <w:tcW w:w="395" w:type="dxa"/>
          </w:tcPr>
          <w:p w:rsidR="00F55DB6" w:rsidRPr="0021038C" w:rsidRDefault="00F55DB6" w:rsidP="00F5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F55DB6" w:rsidRPr="0021038C" w:rsidRDefault="00F55DB6" w:rsidP="00F55D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F55DB6" w:rsidRPr="0021038C" w:rsidRDefault="00F55DB6" w:rsidP="00F55D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«Удовлетворение потребностей населения в получении услуг качественного образования»</w:t>
            </w:r>
          </w:p>
        </w:tc>
        <w:tc>
          <w:tcPr>
            <w:tcW w:w="1262" w:type="dxa"/>
            <w:vAlign w:val="center"/>
          </w:tcPr>
          <w:p w:rsidR="00F55DB6" w:rsidRPr="000C7326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59" w:type="dxa"/>
            <w:vAlign w:val="center"/>
          </w:tcPr>
          <w:p w:rsidR="00F55DB6" w:rsidRPr="00F55DB6" w:rsidRDefault="00F55DB6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</w:t>
            </w:r>
            <w:r w:rsidR="006F3AAB">
              <w:rPr>
                <w:rFonts w:ascii="Times New Roman" w:hAnsi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6F3AAB">
              <w:rPr>
                <w:rFonts w:ascii="Times New Roman" w:hAnsi="Times New Roman"/>
                <w:sz w:val="18"/>
                <w:szCs w:val="18"/>
              </w:rPr>
              <w:t>544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F3AAB">
              <w:rPr>
                <w:rFonts w:ascii="Times New Roman" w:hAnsi="Times New Roman"/>
                <w:sz w:val="18"/>
                <w:szCs w:val="18"/>
              </w:rPr>
              <w:t>42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:rsidR="00F55DB6" w:rsidRPr="00F55DB6" w:rsidRDefault="00F55DB6" w:rsidP="002F0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203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306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396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,05   </w:t>
            </w:r>
          </w:p>
        </w:tc>
        <w:tc>
          <w:tcPr>
            <w:tcW w:w="1256" w:type="dxa"/>
            <w:vAlign w:val="center"/>
          </w:tcPr>
          <w:p w:rsidR="00F55DB6" w:rsidRPr="00F55DB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 xml:space="preserve">195 417 187,68   </w:t>
            </w:r>
          </w:p>
        </w:tc>
        <w:tc>
          <w:tcPr>
            <w:tcW w:w="1260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259" w:type="dxa"/>
            <w:vAlign w:val="center"/>
          </w:tcPr>
          <w:p w:rsidR="00F55DB6" w:rsidRPr="000C7326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172 755 390,84</w:t>
            </w:r>
          </w:p>
        </w:tc>
        <w:tc>
          <w:tcPr>
            <w:tcW w:w="1481" w:type="dxa"/>
            <w:vAlign w:val="center"/>
          </w:tcPr>
          <w:p w:rsidR="00F55DB6" w:rsidRPr="000C7326" w:rsidRDefault="00F55DB6" w:rsidP="002F0B1D">
            <w:pPr>
              <w:rPr>
                <w:rFonts w:ascii="Times New Roman" w:hAnsi="Times New Roman"/>
                <w:sz w:val="18"/>
                <w:szCs w:val="18"/>
              </w:rPr>
            </w:pPr>
            <w:r w:rsidRPr="00F55DB6">
              <w:rPr>
                <w:rFonts w:ascii="Times New Roman" w:hAnsi="Times New Roman"/>
                <w:sz w:val="18"/>
                <w:szCs w:val="18"/>
              </w:rPr>
              <w:t>1 15</w:t>
            </w:r>
            <w:r w:rsidR="002F0B1D">
              <w:rPr>
                <w:rFonts w:ascii="Times New Roman" w:hAnsi="Times New Roman"/>
                <w:sz w:val="18"/>
                <w:szCs w:val="18"/>
              </w:rPr>
              <w:t>1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908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478</w:t>
            </w:r>
            <w:r w:rsidRP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6F3AA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C7326" w:rsidRPr="0021038C" w:rsidTr="0043355D">
        <w:trPr>
          <w:trHeight w:val="787"/>
        </w:trPr>
        <w:tc>
          <w:tcPr>
            <w:tcW w:w="395" w:type="dxa"/>
          </w:tcPr>
          <w:p w:rsidR="000C7326" w:rsidRPr="0021038C" w:rsidRDefault="000C7326" w:rsidP="000C73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0C7326" w:rsidRPr="0021038C" w:rsidRDefault="000C7326" w:rsidP="000C73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0C7326" w:rsidRPr="0021038C" w:rsidRDefault="000C7326" w:rsidP="000C7326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«Развитие инфраструктуры общеобразовательных учреждений (организаций) и учреждений (организаций) дополнительного образования Осташковского городского округа в соответствии с требованиями ми действующего законодательства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0C7326" w:rsidRPr="00612093" w:rsidRDefault="00612093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6</w:t>
            </w:r>
            <w:r w:rsidR="00E504BF">
              <w:rPr>
                <w:rFonts w:ascii="Times New Roman" w:hAnsi="Times New Roman"/>
                <w:sz w:val="18"/>
                <w:szCs w:val="18"/>
              </w:rPr>
              <w:t>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460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59" w:type="dxa"/>
            <w:vAlign w:val="center"/>
          </w:tcPr>
          <w:p w:rsidR="000C7326" w:rsidRPr="00612093" w:rsidRDefault="00360866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</w:t>
            </w:r>
            <w:r w:rsidR="006F3AAB">
              <w:rPr>
                <w:rFonts w:ascii="Times New Roman" w:hAnsi="Times New Roman"/>
                <w:sz w:val="18"/>
                <w:szCs w:val="18"/>
              </w:rPr>
              <w:t>892</w:t>
            </w:r>
            <w:r w:rsidR="004A1054">
              <w:rPr>
                <w:rFonts w:ascii="Times New Roman" w:hAnsi="Times New Roman"/>
                <w:sz w:val="18"/>
                <w:szCs w:val="18"/>
              </w:rPr>
              <w:t> 235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4C77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4C7725">
              <w:rPr>
                <w:rFonts w:ascii="Times New Roman" w:hAnsi="Times New Roman"/>
                <w:sz w:val="18"/>
                <w:szCs w:val="18"/>
              </w:rPr>
              <w:t>8</w:t>
            </w:r>
            <w:r w:rsidR="002F0B1D">
              <w:rPr>
                <w:rFonts w:ascii="Times New Roman" w:hAnsi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sz w:val="18"/>
                <w:szCs w:val="18"/>
              </w:rPr>
              <w:t>470</w:t>
            </w:r>
            <w:r>
              <w:rPr>
                <w:rFonts w:ascii="Times New Roman" w:hAnsi="Times New Roman"/>
                <w:sz w:val="18"/>
                <w:szCs w:val="18"/>
              </w:rPr>
              <w:t>,96</w:t>
            </w:r>
          </w:p>
        </w:tc>
        <w:tc>
          <w:tcPr>
            <w:tcW w:w="1256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1 648 608,96</w:t>
            </w:r>
          </w:p>
        </w:tc>
        <w:tc>
          <w:tcPr>
            <w:tcW w:w="1260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259" w:type="dxa"/>
            <w:vAlign w:val="center"/>
          </w:tcPr>
          <w:p w:rsidR="000C7326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1 548 608,96</w:t>
            </w:r>
          </w:p>
        </w:tc>
        <w:tc>
          <w:tcPr>
            <w:tcW w:w="1481" w:type="dxa"/>
            <w:vAlign w:val="center"/>
          </w:tcPr>
          <w:p w:rsidR="000C7326" w:rsidRPr="00612093" w:rsidRDefault="002F0B1D" w:rsidP="002F0B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496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128</w:t>
            </w:r>
            <w:r w:rsidR="00F55DB6"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доступности качественных образовательных услуг в общеобразовательных учреждениях вне зависимости от места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31 773 612,79</w:t>
            </w:r>
          </w:p>
        </w:tc>
        <w:tc>
          <w:tcPr>
            <w:tcW w:w="1259" w:type="dxa"/>
            <w:vAlign w:val="center"/>
          </w:tcPr>
          <w:p w:rsidR="00612093" w:rsidRPr="00612093" w:rsidRDefault="00F55DB6" w:rsidP="00E44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r w:rsidR="00E44D8B">
              <w:rPr>
                <w:rFonts w:ascii="Times New Roman" w:hAnsi="Times New Roman"/>
                <w:sz w:val="18"/>
                <w:szCs w:val="18"/>
              </w:rPr>
              <w:t>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745,90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30 751 650,90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30 398 528,70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31 225 073,10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F55D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187 925 684,49</w:t>
            </w:r>
          </w:p>
        </w:tc>
      </w:tr>
      <w:tr w:rsidR="00612093" w:rsidRPr="0021038C" w:rsidTr="0043355D">
        <w:trPr>
          <w:trHeight w:val="1974"/>
        </w:trPr>
        <w:tc>
          <w:tcPr>
            <w:tcW w:w="395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11 353 43</w:t>
            </w:r>
            <w:r w:rsidR="004A105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259" w:type="dxa"/>
            <w:vAlign w:val="center"/>
          </w:tcPr>
          <w:p w:rsidR="00612093" w:rsidRPr="00612093" w:rsidRDefault="004A1054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568</w:t>
            </w:r>
            <w:r w:rsidR="00F55DB6">
              <w:rPr>
                <w:rFonts w:ascii="Times New Roman" w:hAnsi="Times New Roman"/>
                <w:sz w:val="18"/>
                <w:szCs w:val="18"/>
              </w:rPr>
              <w:t xml:space="preserve"> 057,80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11 297 962,80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10 944 840,60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11 033 785,00   </w:t>
            </w:r>
          </w:p>
        </w:tc>
        <w:tc>
          <w:tcPr>
            <w:tcW w:w="1481" w:type="dxa"/>
            <w:vAlign w:val="center"/>
          </w:tcPr>
          <w:p w:rsidR="00612093" w:rsidRPr="00612093" w:rsidRDefault="00F55DB6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 </w:t>
            </w:r>
            <w:r w:rsidR="004A1054">
              <w:rPr>
                <w:rFonts w:ascii="Times New Roman" w:hAnsi="Times New Roman"/>
                <w:sz w:val="18"/>
                <w:szCs w:val="18"/>
              </w:rPr>
              <w:t>231 869,17</w:t>
            </w:r>
          </w:p>
        </w:tc>
      </w:tr>
      <w:tr w:rsidR="00612093" w:rsidRPr="0021038C" w:rsidTr="0043355D">
        <w:tc>
          <w:tcPr>
            <w:tcW w:w="395" w:type="dxa"/>
          </w:tcPr>
          <w:p w:rsidR="00612093" w:rsidRPr="0021038C" w:rsidRDefault="00612093" w:rsidP="006120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612093" w:rsidRPr="0021038C" w:rsidRDefault="00612093" w:rsidP="00612093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612093" w:rsidRPr="0021038C" w:rsidRDefault="00612093" w:rsidP="0061209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современной системы оценки индивидуальных образовательных достижений обучающихся и профессиональных достижений педагогов»</w:t>
            </w:r>
          </w:p>
        </w:tc>
        <w:tc>
          <w:tcPr>
            <w:tcW w:w="1262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456 366,12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463 857,12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56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427 857,12   </w:t>
            </w:r>
          </w:p>
        </w:tc>
        <w:tc>
          <w:tcPr>
            <w:tcW w:w="1260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259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424 850,67   </w:t>
            </w:r>
          </w:p>
        </w:tc>
        <w:tc>
          <w:tcPr>
            <w:tcW w:w="1481" w:type="dxa"/>
            <w:vAlign w:val="center"/>
          </w:tcPr>
          <w:p w:rsidR="00612093" w:rsidRPr="00612093" w:rsidRDefault="00612093" w:rsidP="00612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2093">
              <w:rPr>
                <w:rFonts w:ascii="Times New Roman" w:hAnsi="Times New Roman"/>
                <w:sz w:val="18"/>
                <w:szCs w:val="18"/>
              </w:rPr>
              <w:t xml:space="preserve">2 625 638,82   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</w:t>
      </w:r>
      <w:r w:rsidRPr="0021038C">
        <w:lastRenderedPageBreak/>
        <w:t>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6C734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3E66C6" w:rsidRPr="0021038C">
        <w:rPr>
          <w:rFonts w:ascii="Times New Roman" w:hAnsi="Times New Roman"/>
          <w:sz w:val="28"/>
          <w:szCs w:val="28"/>
        </w:rPr>
        <w:t xml:space="preserve"> </w:t>
      </w:r>
      <w:r w:rsidRPr="006C734C">
        <w:rPr>
          <w:rFonts w:ascii="Times New Roman" w:hAnsi="Times New Roman"/>
          <w:sz w:val="28"/>
          <w:szCs w:val="28"/>
          <w:u w:val="single"/>
        </w:rPr>
        <w:t>Мероприятие 4 задачи 1 подпрограммы 2</w:t>
      </w:r>
      <w:r w:rsidRPr="006C734C">
        <w:rPr>
          <w:rFonts w:ascii="Times New Roman" w:hAnsi="Times New Roman"/>
          <w:sz w:val="28"/>
          <w:szCs w:val="28"/>
        </w:rPr>
        <w:t xml:space="preserve"> "Оснащение муниципальных образовательных организаций, реализующих программы дошкольного образования, уличными игровыми комплексами за счет средств областного </w:t>
      </w:r>
      <w:r>
        <w:rPr>
          <w:rFonts w:ascii="Times New Roman" w:hAnsi="Times New Roman"/>
          <w:sz w:val="28"/>
          <w:szCs w:val="28"/>
        </w:rPr>
        <w:t xml:space="preserve">и местного </w:t>
      </w:r>
      <w:r w:rsidRPr="006C734C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6C734C">
        <w:rPr>
          <w:rFonts w:ascii="Times New Roman" w:hAnsi="Times New Roman"/>
          <w:sz w:val="28"/>
          <w:szCs w:val="28"/>
        </w:rPr>
        <w:t>"</w:t>
      </w:r>
      <w:r w:rsidR="003E66C6" w:rsidRPr="0021038C">
        <w:rPr>
          <w:rFonts w:ascii="Times New Roman" w:hAnsi="Times New Roman"/>
          <w:sz w:val="28"/>
          <w:szCs w:val="28"/>
        </w:rPr>
        <w:t xml:space="preserve">     </w:t>
      </w:r>
    </w:p>
    <w:p w:rsidR="006C734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1 мероприятия 4 задачи 1 подпрограммы 2 "количество организаций, в которых будут проведены мероприятия по оснащению муниципальных дошкольных образовательных организаций уличными игровыми комплексами"</w:t>
      </w:r>
    </w:p>
    <w:p w:rsidR="003E66C6" w:rsidRPr="0021038C" w:rsidRDefault="006C734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34C">
        <w:rPr>
          <w:rFonts w:ascii="Times New Roman" w:hAnsi="Times New Roman"/>
          <w:sz w:val="28"/>
          <w:szCs w:val="28"/>
        </w:rPr>
        <w:t>Показатель 2 мероприятия 4 задачи 2 подпрограммы 2 "доля воспитанников дошкольных образовательных организаций, в которых проведены мероприятия по оснащению муниципальных дошкольных образовательных организаций уличными игровыми комплексами, в общей численности воспитанников дошкольных образовательных организаций муниципального образования Тверской области"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lastRenderedPageBreak/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502F" w:rsidRPr="0021038C" w:rsidRDefault="007C502F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7B626B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7B626B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12093" w:rsidRPr="0021038C" w:rsidTr="007B626B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21038C" w:rsidRDefault="00612093" w:rsidP="00612093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4A1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169528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A105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F3AAB">
              <w:rPr>
                <w:rFonts w:ascii="Times New Roman" w:hAnsi="Times New Roman"/>
                <w:sz w:val="18"/>
                <w:szCs w:val="18"/>
              </w:rPr>
              <w:t>61244</w:t>
            </w:r>
            <w:r>
              <w:rPr>
                <w:rFonts w:ascii="Times New Roman" w:hAnsi="Times New Roman"/>
                <w:sz w:val="18"/>
                <w:szCs w:val="18"/>
              </w:rPr>
              <w:t>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137155240,99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104421995,34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7B626B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B626B">
              <w:rPr>
                <w:rFonts w:ascii="Times New Roman" w:hAnsi="Times New Roman"/>
                <w:sz w:val="17"/>
                <w:szCs w:val="17"/>
              </w:rPr>
              <w:t>104421995,34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3" w:rsidRPr="007B626B" w:rsidRDefault="007B626B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F3AAB">
              <w:rPr>
                <w:rFonts w:ascii="Times New Roman" w:hAnsi="Times New Roman"/>
                <w:sz w:val="18"/>
                <w:szCs w:val="18"/>
              </w:rPr>
              <w:t>704484</w:t>
            </w:r>
            <w:r w:rsidR="004A1054">
              <w:rPr>
                <w:rFonts w:ascii="Times New Roman" w:hAnsi="Times New Roman"/>
                <w:sz w:val="18"/>
                <w:szCs w:val="18"/>
              </w:rPr>
              <w:t>99,54</w:t>
            </w:r>
          </w:p>
        </w:tc>
      </w:tr>
      <w:tr w:rsidR="007B626B" w:rsidRPr="0021038C" w:rsidTr="007B626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E504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138647348,</w:t>
            </w:r>
            <w:r w:rsidR="00E504B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F3AAB">
              <w:rPr>
                <w:rFonts w:ascii="Times New Roman" w:hAnsi="Times New Roman"/>
                <w:sz w:val="18"/>
                <w:szCs w:val="18"/>
              </w:rPr>
              <w:t>290519</w:t>
            </w:r>
            <w:r>
              <w:rPr>
                <w:rFonts w:ascii="Times New Roman" w:hAnsi="Times New Roman"/>
                <w:sz w:val="18"/>
                <w:szCs w:val="18"/>
              </w:rPr>
              <w:t>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133935940,99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101181695,34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B626B">
              <w:rPr>
                <w:rFonts w:ascii="Times New Roman" w:hAnsi="Times New Roman"/>
                <w:sz w:val="17"/>
                <w:szCs w:val="17"/>
              </w:rPr>
              <w:t>01181695,34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6F3A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  <w:r w:rsidR="006F3AAB">
              <w:rPr>
                <w:rFonts w:ascii="Times New Roman" w:hAnsi="Times New Roman"/>
                <w:sz w:val="18"/>
                <w:szCs w:val="18"/>
              </w:rPr>
              <w:t>1787819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6F3AA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7B626B" w:rsidRPr="0021038C" w:rsidTr="007B626B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4A1054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2 522 180,00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3 219 300,00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3 240 300,00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sz w:val="18"/>
                <w:szCs w:val="18"/>
              </w:rPr>
              <w:t xml:space="preserve">19 378 800,00   </w:t>
            </w:r>
          </w:p>
        </w:tc>
      </w:tr>
      <w:tr w:rsidR="003E66C6" w:rsidRPr="0021038C" w:rsidTr="007B626B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D62CA" w:rsidP="007B62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C502F" w:rsidRPr="0021038C" w:rsidRDefault="007C502F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</w:t>
      </w:r>
      <w:r w:rsidR="004A1054">
        <w:t>4</w:t>
      </w:r>
      <w:r w:rsidRPr="0021038C">
        <w:t xml:space="preserve">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lastRenderedPageBreak/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B626B" w:rsidRPr="0021038C" w:rsidTr="00F55DB6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B" w:rsidRPr="0021038C" w:rsidRDefault="007B626B" w:rsidP="007B626B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645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53B08" w:rsidP="00B5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936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924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2F0B1D" w:rsidP="002F0B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808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  <w:r w:rsidR="007B626B"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6 011 789,29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5 662 403,71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B53B08" w:rsidP="002F0B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F0B1D">
              <w:rPr>
                <w:rFonts w:ascii="Times New Roman" w:hAnsi="Times New Roman"/>
                <w:color w:val="000000"/>
                <w:sz w:val="18"/>
                <w:szCs w:val="18"/>
              </w:rPr>
              <w:t>727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2F0B1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7B626B" w:rsidRPr="0021038C" w:rsidTr="00F55DB6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1F43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916D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="00916D15">
              <w:rPr>
                <w:rFonts w:ascii="Times New Roman" w:hAnsi="Times New Roman"/>
                <w:color w:val="000000"/>
                <w:sz w:val="18"/>
                <w:szCs w:val="18"/>
              </w:rPr>
              <w:t>596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6D15">
              <w:rPr>
                <w:rFonts w:ascii="Times New Roman" w:hAnsi="Times New Roman"/>
                <w:color w:val="000000"/>
                <w:sz w:val="18"/>
                <w:szCs w:val="18"/>
              </w:rPr>
              <w:t>766</w:t>
            </w: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5 671 632,29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5 671 631,29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5 319 641,71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B5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32 9</w:t>
            </w:r>
            <w:r w:rsidR="00B53B08">
              <w:rPr>
                <w:rFonts w:ascii="Times New Roman" w:hAnsi="Times New Roman"/>
                <w:color w:val="000000"/>
                <w:sz w:val="18"/>
                <w:szCs w:val="18"/>
              </w:rPr>
              <w:t>09530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F436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7B626B" w:rsidRPr="0021038C" w:rsidTr="00F55DB6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B" w:rsidRPr="0021038C" w:rsidRDefault="007B626B" w:rsidP="007B6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21038C" w:rsidRDefault="007B626B" w:rsidP="007B6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 комплексной деятельности по сохранению и укреплению здоровья школьников, формированию 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314 895,96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340 158,00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342 762,00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B" w:rsidRPr="007B626B" w:rsidRDefault="007B626B" w:rsidP="007B6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62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2 020 893,96   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7C502F" w:rsidRDefault="007C502F" w:rsidP="00FD496E">
      <w:pPr>
        <w:pStyle w:val="af2"/>
        <w:ind w:firstLine="567"/>
        <w:jc w:val="right"/>
        <w:rPr>
          <w:b/>
        </w:rPr>
      </w:pP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lastRenderedPageBreak/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lastRenderedPageBreak/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C502F" w:rsidRDefault="007C502F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lastRenderedPageBreak/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</w:t>
      </w:r>
      <w:r w:rsidRPr="0021038C">
        <w:rPr>
          <w:rFonts w:ascii="Times New Roman" w:hAnsi="Times New Roman"/>
          <w:iCs/>
          <w:sz w:val="28"/>
          <w:szCs w:val="28"/>
        </w:rPr>
        <w:lastRenderedPageBreak/>
        <w:t xml:space="preserve">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</w:t>
      </w:r>
      <w:r w:rsidRPr="0021038C">
        <w:rPr>
          <w:rFonts w:ascii="Times New Roman" w:hAnsi="Times New Roman"/>
          <w:sz w:val="28"/>
          <w:szCs w:val="28"/>
        </w:rPr>
        <w:lastRenderedPageBreak/>
        <w:t>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8C" w:rsidRDefault="00B20D8C" w:rsidP="00A23FBB">
      <w:pPr>
        <w:spacing w:after="0" w:line="240" w:lineRule="auto"/>
      </w:pPr>
      <w:r>
        <w:separator/>
      </w:r>
    </w:p>
  </w:endnote>
  <w:endnote w:type="continuationSeparator" w:id="0">
    <w:p w:rsidR="00B20D8C" w:rsidRDefault="00B20D8C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8C" w:rsidRDefault="00B20D8C" w:rsidP="00A23FBB">
      <w:pPr>
        <w:spacing w:after="0" w:line="240" w:lineRule="auto"/>
      </w:pPr>
      <w:r>
        <w:separator/>
      </w:r>
    </w:p>
  </w:footnote>
  <w:footnote w:type="continuationSeparator" w:id="0">
    <w:p w:rsidR="00B20D8C" w:rsidRDefault="00B20D8C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87A"/>
    <w:rsid w:val="00011E99"/>
    <w:rsid w:val="00012489"/>
    <w:rsid w:val="000142AD"/>
    <w:rsid w:val="000159AC"/>
    <w:rsid w:val="000236DB"/>
    <w:rsid w:val="00024B6B"/>
    <w:rsid w:val="00024FE3"/>
    <w:rsid w:val="00026DF2"/>
    <w:rsid w:val="00037579"/>
    <w:rsid w:val="00044466"/>
    <w:rsid w:val="00044F93"/>
    <w:rsid w:val="00046AE4"/>
    <w:rsid w:val="000529CD"/>
    <w:rsid w:val="000531E3"/>
    <w:rsid w:val="00053748"/>
    <w:rsid w:val="00053A66"/>
    <w:rsid w:val="00057B9E"/>
    <w:rsid w:val="000659D8"/>
    <w:rsid w:val="00066A6B"/>
    <w:rsid w:val="00070EEE"/>
    <w:rsid w:val="00071E9D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C7326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88B"/>
    <w:rsid w:val="00181AAA"/>
    <w:rsid w:val="0018259C"/>
    <w:rsid w:val="00185155"/>
    <w:rsid w:val="0018566A"/>
    <w:rsid w:val="00186357"/>
    <w:rsid w:val="00186DE9"/>
    <w:rsid w:val="001956E3"/>
    <w:rsid w:val="001A1737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0955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1F436B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2A3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0B1D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53B75"/>
    <w:rsid w:val="00360866"/>
    <w:rsid w:val="0037008F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87AF5"/>
    <w:rsid w:val="003915D3"/>
    <w:rsid w:val="00392EDE"/>
    <w:rsid w:val="00393767"/>
    <w:rsid w:val="00393856"/>
    <w:rsid w:val="0039440B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B5DE4"/>
    <w:rsid w:val="003B7726"/>
    <w:rsid w:val="003C0F56"/>
    <w:rsid w:val="003C5812"/>
    <w:rsid w:val="003D1305"/>
    <w:rsid w:val="003D14F4"/>
    <w:rsid w:val="003D4247"/>
    <w:rsid w:val="003D62CA"/>
    <w:rsid w:val="003E021F"/>
    <w:rsid w:val="003E4C05"/>
    <w:rsid w:val="003E4E97"/>
    <w:rsid w:val="003E52F4"/>
    <w:rsid w:val="003E66C6"/>
    <w:rsid w:val="003E7F26"/>
    <w:rsid w:val="003F1151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55D"/>
    <w:rsid w:val="00433A1E"/>
    <w:rsid w:val="00436CFB"/>
    <w:rsid w:val="00440575"/>
    <w:rsid w:val="00442D34"/>
    <w:rsid w:val="00444BD2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616F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054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C7725"/>
    <w:rsid w:val="004D1DEA"/>
    <w:rsid w:val="004D3F66"/>
    <w:rsid w:val="004D5585"/>
    <w:rsid w:val="004D5B82"/>
    <w:rsid w:val="004D7D23"/>
    <w:rsid w:val="004E4E79"/>
    <w:rsid w:val="004E78B7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12672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31B6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0755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12093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A6A3F"/>
    <w:rsid w:val="006B021D"/>
    <w:rsid w:val="006B2531"/>
    <w:rsid w:val="006B587F"/>
    <w:rsid w:val="006B6007"/>
    <w:rsid w:val="006B69F7"/>
    <w:rsid w:val="006C05AA"/>
    <w:rsid w:val="006C734C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E6878"/>
    <w:rsid w:val="006F0F70"/>
    <w:rsid w:val="006F21EA"/>
    <w:rsid w:val="006F3AAB"/>
    <w:rsid w:val="006F3D48"/>
    <w:rsid w:val="006F42F9"/>
    <w:rsid w:val="006F649D"/>
    <w:rsid w:val="006F7ECD"/>
    <w:rsid w:val="00703313"/>
    <w:rsid w:val="007036E1"/>
    <w:rsid w:val="00704667"/>
    <w:rsid w:val="007062B4"/>
    <w:rsid w:val="007065F8"/>
    <w:rsid w:val="00710FA3"/>
    <w:rsid w:val="0071257A"/>
    <w:rsid w:val="00713866"/>
    <w:rsid w:val="00714810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96C60"/>
    <w:rsid w:val="007A0678"/>
    <w:rsid w:val="007A4FF6"/>
    <w:rsid w:val="007A6827"/>
    <w:rsid w:val="007A7451"/>
    <w:rsid w:val="007B3694"/>
    <w:rsid w:val="007B5C5F"/>
    <w:rsid w:val="007B626B"/>
    <w:rsid w:val="007B73E7"/>
    <w:rsid w:val="007B76A3"/>
    <w:rsid w:val="007C502F"/>
    <w:rsid w:val="007C5EDC"/>
    <w:rsid w:val="007C7B6E"/>
    <w:rsid w:val="007D12F3"/>
    <w:rsid w:val="007D1A88"/>
    <w:rsid w:val="007D4B86"/>
    <w:rsid w:val="007E1348"/>
    <w:rsid w:val="007E2837"/>
    <w:rsid w:val="007E5707"/>
    <w:rsid w:val="007E5953"/>
    <w:rsid w:val="007E59FD"/>
    <w:rsid w:val="007E6C36"/>
    <w:rsid w:val="007E7DBE"/>
    <w:rsid w:val="007F0710"/>
    <w:rsid w:val="007F1ACF"/>
    <w:rsid w:val="007F5615"/>
    <w:rsid w:val="008052D8"/>
    <w:rsid w:val="00805A38"/>
    <w:rsid w:val="00806E89"/>
    <w:rsid w:val="008105D7"/>
    <w:rsid w:val="00812EE6"/>
    <w:rsid w:val="008130B7"/>
    <w:rsid w:val="0081379D"/>
    <w:rsid w:val="0081757B"/>
    <w:rsid w:val="00825AD3"/>
    <w:rsid w:val="008339DB"/>
    <w:rsid w:val="008367A7"/>
    <w:rsid w:val="008374CD"/>
    <w:rsid w:val="0084178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73F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16D15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466B"/>
    <w:rsid w:val="00995318"/>
    <w:rsid w:val="009965E0"/>
    <w:rsid w:val="00996746"/>
    <w:rsid w:val="00997268"/>
    <w:rsid w:val="009A0523"/>
    <w:rsid w:val="009A072A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76FCE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27B"/>
    <w:rsid w:val="00AF2583"/>
    <w:rsid w:val="00AF3B89"/>
    <w:rsid w:val="00AF7F55"/>
    <w:rsid w:val="00B0077E"/>
    <w:rsid w:val="00B03B9E"/>
    <w:rsid w:val="00B04E25"/>
    <w:rsid w:val="00B06D0F"/>
    <w:rsid w:val="00B12AEC"/>
    <w:rsid w:val="00B20D8C"/>
    <w:rsid w:val="00B27C9C"/>
    <w:rsid w:val="00B32256"/>
    <w:rsid w:val="00B337F6"/>
    <w:rsid w:val="00B34D97"/>
    <w:rsid w:val="00B36A67"/>
    <w:rsid w:val="00B3736C"/>
    <w:rsid w:val="00B50237"/>
    <w:rsid w:val="00B52D97"/>
    <w:rsid w:val="00B53B08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9515F"/>
    <w:rsid w:val="00BA0C45"/>
    <w:rsid w:val="00BA1691"/>
    <w:rsid w:val="00BA64E2"/>
    <w:rsid w:val="00BA6A6D"/>
    <w:rsid w:val="00BA7AD9"/>
    <w:rsid w:val="00BA7E81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0778E"/>
    <w:rsid w:val="00C07CC1"/>
    <w:rsid w:val="00C11EC3"/>
    <w:rsid w:val="00C12521"/>
    <w:rsid w:val="00C147E5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375BD"/>
    <w:rsid w:val="00C40535"/>
    <w:rsid w:val="00C40B21"/>
    <w:rsid w:val="00C4190F"/>
    <w:rsid w:val="00C42468"/>
    <w:rsid w:val="00C43FD5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184A"/>
    <w:rsid w:val="00CA5F4D"/>
    <w:rsid w:val="00CA7408"/>
    <w:rsid w:val="00CA7B5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146A1"/>
    <w:rsid w:val="00D16008"/>
    <w:rsid w:val="00D314EC"/>
    <w:rsid w:val="00D31D98"/>
    <w:rsid w:val="00D338CB"/>
    <w:rsid w:val="00D345C6"/>
    <w:rsid w:val="00D374AA"/>
    <w:rsid w:val="00D43BAD"/>
    <w:rsid w:val="00D4675B"/>
    <w:rsid w:val="00D51CA1"/>
    <w:rsid w:val="00D5276B"/>
    <w:rsid w:val="00D56AFF"/>
    <w:rsid w:val="00D57D53"/>
    <w:rsid w:val="00D60F5B"/>
    <w:rsid w:val="00D6338E"/>
    <w:rsid w:val="00D7037C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E5B73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6FEE"/>
    <w:rsid w:val="00E07933"/>
    <w:rsid w:val="00E10EC9"/>
    <w:rsid w:val="00E11A4F"/>
    <w:rsid w:val="00E12B2B"/>
    <w:rsid w:val="00E12CBE"/>
    <w:rsid w:val="00E1584B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4D8B"/>
    <w:rsid w:val="00E4684E"/>
    <w:rsid w:val="00E4756C"/>
    <w:rsid w:val="00E504BF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C717F"/>
    <w:rsid w:val="00ED0AC2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5391"/>
    <w:rsid w:val="00F55DB6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0DBE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5D685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B62C-2260-4DF1-88CE-F7E0D0E2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12341</Words>
  <Characters>70347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33</cp:revision>
  <cp:lastPrinted>2023-06-26T11:58:00Z</cp:lastPrinted>
  <dcterms:created xsi:type="dcterms:W3CDTF">2022-08-08T10:35:00Z</dcterms:created>
  <dcterms:modified xsi:type="dcterms:W3CDTF">2023-06-26T12:00:00Z</dcterms:modified>
</cp:coreProperties>
</file>