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«</w:t>
      </w:r>
      <w:r w:rsidR="001F1EA6">
        <w:rPr>
          <w:rFonts w:ascii="Times New Roman" w:hAnsi="Times New Roman" w:cs="Times New Roman"/>
          <w:sz w:val="28"/>
          <w:szCs w:val="28"/>
        </w:rPr>
        <w:t>19</w:t>
      </w:r>
      <w:r w:rsidR="009256B3">
        <w:rPr>
          <w:rFonts w:ascii="Times New Roman" w:hAnsi="Times New Roman" w:cs="Times New Roman"/>
          <w:sz w:val="28"/>
          <w:szCs w:val="28"/>
        </w:rPr>
        <w:t xml:space="preserve">» </w:t>
      </w:r>
      <w:r w:rsidR="001F1EA6">
        <w:rPr>
          <w:rFonts w:ascii="Times New Roman" w:hAnsi="Times New Roman" w:cs="Times New Roman"/>
          <w:sz w:val="28"/>
          <w:szCs w:val="28"/>
        </w:rPr>
        <w:t>февраля</w:t>
      </w:r>
      <w:r w:rsidR="00EE5E3E">
        <w:rPr>
          <w:rFonts w:ascii="Times New Roman" w:hAnsi="Times New Roman" w:cs="Times New Roman"/>
          <w:sz w:val="28"/>
          <w:szCs w:val="28"/>
        </w:rPr>
        <w:t xml:space="preserve"> </w:t>
      </w:r>
      <w:r w:rsidR="007C73AF">
        <w:rPr>
          <w:rFonts w:ascii="Times New Roman" w:hAnsi="Times New Roman" w:cs="Times New Roman"/>
          <w:sz w:val="28"/>
          <w:szCs w:val="28"/>
        </w:rPr>
        <w:t>202</w:t>
      </w:r>
      <w:r w:rsidR="005B0437">
        <w:rPr>
          <w:rFonts w:ascii="Times New Roman" w:hAnsi="Times New Roman" w:cs="Times New Roman"/>
          <w:sz w:val="28"/>
          <w:szCs w:val="28"/>
        </w:rPr>
        <w:t>4</w:t>
      </w:r>
      <w:r w:rsidR="007C73AF">
        <w:rPr>
          <w:rFonts w:ascii="Times New Roman" w:hAnsi="Times New Roman" w:cs="Times New Roman"/>
          <w:sz w:val="28"/>
          <w:szCs w:val="28"/>
        </w:rPr>
        <w:t xml:space="preserve">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1F1EA6">
        <w:rPr>
          <w:rFonts w:ascii="Times New Roman" w:hAnsi="Times New Roman" w:cs="Times New Roman"/>
          <w:sz w:val="28"/>
          <w:szCs w:val="28"/>
        </w:rPr>
        <w:t>176</w:t>
      </w:r>
      <w:bookmarkStart w:id="1" w:name="_GoBack"/>
      <w:bookmarkEnd w:id="1"/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256B3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391A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134"/>
        <w:gridCol w:w="1134"/>
        <w:gridCol w:w="1134"/>
        <w:gridCol w:w="1134"/>
        <w:gridCol w:w="889"/>
      </w:tblGrid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7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Осташковского 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1F1EA6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1F1EA6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EE7EE9" w:rsidP="001D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6 030 637,44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4F26B0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843990,20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920503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5B0437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565483,04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82" w:rsidRPr="009256B3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579283</w:t>
            </w:r>
            <w:r w:rsidR="00F36D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5B0437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391A94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9256B3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36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176173,20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1810871,20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1002003</w:t>
            </w:r>
            <w:r w:rsidR="00F36D82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5B0437" w:rsidP="00524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4AD6">
              <w:rPr>
                <w:rFonts w:ascii="Times New Roman" w:hAnsi="Times New Roman" w:cs="Times New Roman"/>
                <w:b/>
                <w:sz w:val="20"/>
                <w:szCs w:val="20"/>
              </w:rPr>
              <w:t> 654 786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F36D82"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827671,24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660783</w:t>
            </w:r>
            <w:r w:rsidR="00F36D8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5B0437" w:rsidP="00524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4AD6">
              <w:rPr>
                <w:rFonts w:ascii="Times New Roman" w:hAnsi="Times New Roman" w:cs="Times New Roman"/>
                <w:b/>
                <w:sz w:val="20"/>
                <w:szCs w:val="20"/>
              </w:rPr>
              <w:t> 654 786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F36D82"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65355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65355E" w:rsidRDefault="00B74757" w:rsidP="0065355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Тверской области от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03</w:t>
      </w:r>
      <w:r w:rsidRPr="00401BE4">
        <w:rPr>
          <w:rFonts w:ascii="Times New Roman" w:eastAsia="Calibri" w:hAnsi="Times New Roman" w:cs="Times New Roman"/>
          <w:sz w:val="28"/>
          <w:szCs w:val="28"/>
        </w:rPr>
        <w:t>.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06</w:t>
      </w:r>
      <w:r w:rsidRPr="00401BE4">
        <w:rPr>
          <w:rFonts w:ascii="Times New Roman" w:eastAsia="Calibri" w:hAnsi="Times New Roman" w:cs="Times New Roman"/>
          <w:sz w:val="28"/>
          <w:szCs w:val="28"/>
        </w:rPr>
        <w:t>.20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22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311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-пп </w:t>
      </w:r>
      <w:r w:rsidRPr="00401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о Министерстве молодежной политики Тверской области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401BE4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1BE4">
        <w:rPr>
          <w:rFonts w:ascii="Times New Roman" w:eastAsia="Calibri" w:hAnsi="Times New Roman" w:cs="Times New Roman"/>
          <w:sz w:val="28"/>
          <w:szCs w:val="28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ECB" w:rsidRDefault="00B74757" w:rsidP="0065355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В Осташковском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="00AD5ECD">
        <w:rPr>
          <w:rFonts w:ascii="Times New Roman" w:eastAsia="Calibri" w:hAnsi="Times New Roman" w:cs="Times New Roman"/>
          <w:sz w:val="28"/>
          <w:szCs w:val="28"/>
        </w:rPr>
        <w:t>о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AD5ECD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D5066A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="00AD5E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в) создание условий для самореализации и социальной адаптации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E14E08">
      <w:pPr>
        <w:tabs>
          <w:tab w:val="left" w:pos="426"/>
          <w:tab w:val="left" w:pos="709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низкая информированность молодежной аудитории о реализации программы в виду невысокого уровня доверия к официальным и печатным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положения дел в молодежной среде;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широкого информационного сопровождения муниципальной программы в средствах масс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информации и сети Интернет.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невозвращение молодёжи после завершения обучения в образовательных учреждений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законодательства в сфере государственной  молодежной политики;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изменения  законодательства в части принятия соответствующих муниципальных правовых актов;</w:t>
      </w:r>
    </w:p>
    <w:p w:rsidR="00104807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нового опыта реализации муниципальной молодежной политики от других муниципальных образований Тверской области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6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proofErr w:type="gramEnd"/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жизни в молодёжной среде»;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r w:rsidR="00850278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«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гражданско-патриотического </w:t>
      </w:r>
      <w:r w:rsidR="00850278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и духовно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-нравственного воспитания молодежи»</w:t>
      </w:r>
      <w:r w:rsidR="008502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919D0" w:rsidRPr="00AA6013" w:rsidRDefault="00850278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2 «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волонтерскую деятельность, </w:t>
      </w:r>
      <w:r w:rsidR="007919D0"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r w:rsidR="00850278" w:rsidRPr="006C2177">
        <w:rPr>
          <w:rFonts w:ascii="Times New Roman" w:hAnsi="Times New Roman" w:cs="Times New Roman"/>
          <w:sz w:val="28"/>
          <w:szCs w:val="28"/>
        </w:rPr>
        <w:t>1: 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2</w:t>
      </w:r>
      <w:r w:rsid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и восстановление воинских захоронений в рамках реализации федеральной программы 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Отечества на 2019-2024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Общий объем бюджетных ассигнований, выделенный на ре</w:t>
      </w:r>
      <w:r w:rsidR="00850278">
        <w:rPr>
          <w:rFonts w:ascii="Times New Roman" w:hAnsi="Times New Roman" w:cs="Times New Roman"/>
          <w:sz w:val="26"/>
          <w:szCs w:val="26"/>
        </w:rPr>
        <w:t>ализацию подпрограммы 1</w:t>
      </w:r>
      <w:r w:rsidRPr="008974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EE7EE9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EE7EE9">
        <w:rPr>
          <w:rFonts w:ascii="Times New Roman" w:hAnsi="Times New Roman" w:cs="Times New Roman"/>
          <w:b/>
          <w:bCs/>
          <w:sz w:val="24"/>
          <w:szCs w:val="24"/>
        </w:rPr>
        <w:t> 030 637,44</w:t>
      </w:r>
      <w:r w:rsidR="00EE7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«Содействие развитию гражданско-патриотическо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го и духовно-нравственного воспитания молодежи».</w:t>
            </w:r>
          </w:p>
        </w:tc>
        <w:tc>
          <w:tcPr>
            <w:tcW w:w="1305" w:type="dxa"/>
          </w:tcPr>
          <w:p w:rsidR="00EC4AF6" w:rsidRPr="006C2177" w:rsidRDefault="009B7AC7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575628,20</w:t>
            </w:r>
          </w:p>
        </w:tc>
        <w:tc>
          <w:tcPr>
            <w:tcW w:w="963" w:type="dxa"/>
          </w:tcPr>
          <w:p w:rsidR="00EC4AF6" w:rsidRPr="006C2177" w:rsidRDefault="00716F9C" w:rsidP="00716F9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669703,00</w:t>
            </w:r>
          </w:p>
        </w:tc>
        <w:tc>
          <w:tcPr>
            <w:tcW w:w="1134" w:type="dxa"/>
          </w:tcPr>
          <w:p w:rsidR="00EC4AF6" w:rsidRPr="006C2177" w:rsidRDefault="00657093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561326,00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484862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2555449,20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9B7AC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</w:t>
            </w:r>
            <w:r w:rsidR="009B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963" w:type="dxa"/>
          </w:tcPr>
          <w:p w:rsidR="00EC4AF6" w:rsidRPr="006C2177" w:rsidRDefault="00B2257A" w:rsidP="00571FA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</w:t>
            </w:r>
            <w:r w:rsidR="00571FA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CD45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1359452,00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r w:rsidR="005B0413" w:rsidRPr="006C2177">
        <w:rPr>
          <w:rFonts w:ascii="Times New Roman" w:hAnsi="Times New Roman" w:cs="Times New Roman"/>
          <w:sz w:val="28"/>
          <w:szCs w:val="28"/>
        </w:rPr>
        <w:t>2: «</w:t>
      </w:r>
      <w:r w:rsidR="001167E0" w:rsidRPr="006C2177">
        <w:rPr>
          <w:rFonts w:ascii="Times New Roman" w:hAnsi="Times New Roman" w:cs="Times New Roman"/>
          <w:sz w:val="28"/>
          <w:szCs w:val="28"/>
        </w:rPr>
        <w:t>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5B0413">
        <w:rPr>
          <w:rFonts w:ascii="Times New Roman" w:hAnsi="Times New Roman" w:cs="Times New Roman"/>
          <w:sz w:val="28"/>
          <w:szCs w:val="28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r w:rsidR="005B0413" w:rsidRPr="006C2177">
        <w:rPr>
          <w:rFonts w:ascii="Times New Roman" w:hAnsi="Times New Roman" w:cs="Times New Roman"/>
          <w:sz w:val="28"/>
          <w:szCs w:val="28"/>
        </w:rPr>
        <w:t>2: «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</w:t>
      </w:r>
      <w:r w:rsidR="007023C2" w:rsidRPr="006C2177">
        <w:rPr>
          <w:rFonts w:ascii="Times New Roman" w:hAnsi="Times New Roman" w:cs="Times New Roman"/>
          <w:sz w:val="28"/>
          <w:szCs w:val="28"/>
        </w:rPr>
        <w:lastRenderedPageBreak/>
        <w:t>следующих мероприятий:</w:t>
      </w:r>
    </w:p>
    <w:p w:rsidR="007023C2" w:rsidRPr="006C2177" w:rsidRDefault="005B0413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областных слетов среди школьников,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студентов»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вленных на здоровый образ жизни».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встреч, круглых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столов, совещаний по вопросам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явлений в молодежной среде»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«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Осташковского городского округа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2257A">
        <w:rPr>
          <w:rFonts w:ascii="Times New Roman" w:hAnsi="Times New Roman" w:cs="Times New Roman"/>
          <w:sz w:val="28"/>
          <w:szCs w:val="28"/>
        </w:rPr>
        <w:t>493699,00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272E5B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</w:t>
            </w:r>
            <w:r w:rsidR="00B2257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63" w:type="dxa"/>
          </w:tcPr>
          <w:p w:rsidR="00F1465C" w:rsidRPr="006C2177" w:rsidRDefault="006A78AC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6A78AC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242629,00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C2314C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E72C37" w:rsidRPr="00E72C37" w:rsidRDefault="00C2314C" w:rsidP="00E7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199685,00</w:t>
            </w:r>
          </w:p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  <w:r w:rsidR="005B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  <w:r w:rsidR="005B0413">
        <w:rPr>
          <w:rFonts w:ascii="Times New Roman" w:hAnsi="Times New Roman" w:cs="Times New Roman"/>
          <w:b/>
          <w:sz w:val="28"/>
        </w:rPr>
        <w:t>.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5B0413">
      <w:pPr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</w:t>
      </w:r>
      <w:r w:rsidR="005B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проблем молодых семей»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</w:t>
      </w:r>
      <w:r w:rsidR="005B0413">
        <w:rPr>
          <w:rFonts w:ascii="Times New Roman" w:hAnsi="Times New Roman" w:cs="Times New Roman"/>
          <w:sz w:val="28"/>
          <w:szCs w:val="28"/>
        </w:rPr>
        <w:t>«</w:t>
      </w:r>
      <w:r w:rsidR="00B13CCE" w:rsidRPr="00A059E6">
        <w:rPr>
          <w:rFonts w:ascii="Times New Roman" w:hAnsi="Times New Roman" w:cs="Times New Roman"/>
          <w:sz w:val="28"/>
          <w:szCs w:val="28"/>
        </w:rPr>
        <w:t>Доля молодых семей, улучшивших жилищные условия в отчетном году, в общем числе молодых семей, признанных участн</w:t>
      </w:r>
      <w:r w:rsidR="005B0413">
        <w:rPr>
          <w:rFonts w:ascii="Times New Roman" w:hAnsi="Times New Roman" w:cs="Times New Roman"/>
          <w:sz w:val="28"/>
          <w:szCs w:val="28"/>
        </w:rPr>
        <w:t>иками программы в отчетном году».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</w:t>
      </w:r>
      <w:r w:rsidR="005B0413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  <w:r w:rsidR="005B0413">
        <w:rPr>
          <w:rFonts w:ascii="Times New Roman" w:hAnsi="Times New Roman" w:cs="Times New Roman"/>
          <w:sz w:val="28"/>
          <w:szCs w:val="28"/>
        </w:rPr>
        <w:t>.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</w:t>
      </w:r>
      <w:r w:rsidR="005B0413">
        <w:rPr>
          <w:rFonts w:ascii="Times New Roman" w:hAnsi="Times New Roman" w:cs="Times New Roman"/>
          <w:sz w:val="28"/>
          <w:szCs w:val="28"/>
        </w:rPr>
        <w:t>льство) жилья для молодых семей».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5B0413">
        <w:rPr>
          <w:rFonts w:ascii="Times New Roman" w:hAnsi="Times New Roman" w:cs="Times New Roman"/>
          <w:sz w:val="28"/>
          <w:szCs w:val="28"/>
        </w:rPr>
        <w:t xml:space="preserve"> «</w:t>
      </w:r>
      <w:r w:rsidR="00A75AF7" w:rsidRPr="00A75AF7">
        <w:rPr>
          <w:rFonts w:ascii="Times New Roman" w:hAnsi="Times New Roman" w:cs="Times New Roman"/>
          <w:sz w:val="28"/>
          <w:szCs w:val="28"/>
        </w:rPr>
        <w:t>Участие в семинарах для работников сферы молодежной политики, сотрудников администраций муниципальных образований Тверской области п</w:t>
      </w:r>
      <w:r w:rsidR="005B0413">
        <w:rPr>
          <w:rFonts w:ascii="Times New Roman" w:hAnsi="Times New Roman" w:cs="Times New Roman"/>
          <w:sz w:val="28"/>
          <w:szCs w:val="28"/>
        </w:rPr>
        <w:t>о мерам поддержки молодых семей»</w:t>
      </w:r>
      <w:r w:rsidR="00A75AF7" w:rsidRPr="00A75AF7">
        <w:rPr>
          <w:rFonts w:ascii="Times New Roman" w:hAnsi="Times New Roman" w:cs="Times New Roman"/>
          <w:sz w:val="28"/>
          <w:szCs w:val="28"/>
        </w:rPr>
        <w:t>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</w:t>
      </w:r>
      <w:r w:rsidR="005B0413">
        <w:rPr>
          <w:rFonts w:ascii="Times New Roman" w:hAnsi="Times New Roman" w:cs="Times New Roman"/>
          <w:bCs/>
          <w:sz w:val="24"/>
          <w:szCs w:val="24"/>
        </w:rPr>
        <w:t>1673436,24</w:t>
      </w:r>
      <w:r w:rsidR="009B7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gramEnd"/>
            <w:r w:rsidRPr="00E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жильем молодых семей</w:t>
            </w:r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6060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  <w:r w:rsidR="00C2314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C2314C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792570,24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1F391F" w:rsidRPr="006621E8" w:rsidRDefault="00C2314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1673436,24</w:t>
            </w: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="000A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 w:rsidR="000A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0A05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94">
        <w:rPr>
          <w:rFonts w:ascii="Times New Roman" w:hAnsi="Times New Roman" w:cs="Times New Roman"/>
          <w:sz w:val="28"/>
          <w:szCs w:val="28"/>
        </w:rPr>
        <w:t>распределяют</w:t>
      </w:r>
      <w:proofErr w:type="gramEnd"/>
      <w:r w:rsidRPr="00007994">
        <w:rPr>
          <w:rFonts w:ascii="Times New Roman" w:hAnsi="Times New Roman" w:cs="Times New Roman"/>
          <w:sz w:val="28"/>
          <w:szCs w:val="28"/>
        </w:rPr>
        <w:t xml:space="preserve">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0A052A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94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07994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подлежат включению в решение Осташковской городской Думы о бюджете Осташковского </w:t>
      </w:r>
      <w:r w:rsidRPr="00007994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0A052A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>) оценку выполнения плана реализации муниципальной программы;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>) формирование и утверждение сводного годового доклада о ходе реализации и об оценке эффективности муниципальных программ</w:t>
      </w:r>
      <w:r w:rsidR="000A052A">
        <w:rPr>
          <w:rFonts w:ascii="Times New Roman" w:hAnsi="Times New Roman" w:cs="Times New Roman"/>
          <w:sz w:val="28"/>
          <w:szCs w:val="28"/>
        </w:rPr>
        <w:t>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статистика показателей, характеризующих сферу реализации муниципальной программы;</w:t>
      </w:r>
    </w:p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56D3A">
        <w:rPr>
          <w:sz w:val="28"/>
          <w:szCs w:val="28"/>
        </w:rPr>
        <w:t>а</w:t>
      </w:r>
      <w:proofErr w:type="gramEnd"/>
      <w:r w:rsidRPr="00156D3A">
        <w:rPr>
          <w:sz w:val="28"/>
          <w:szCs w:val="28"/>
        </w:rPr>
        <w:t>) первое полугодие текущего финансового года;</w:t>
      </w:r>
    </w:p>
    <w:p w:rsidR="00156D3A" w:rsidRPr="00156D3A" w:rsidRDefault="00156D3A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lastRenderedPageBreak/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</w:t>
      </w:r>
      <w:r w:rsidR="00411E30">
        <w:rPr>
          <w:rFonts w:ascii="Times New Roman" w:hAnsi="Times New Roman" w:cs="Times New Roman"/>
          <w:sz w:val="28"/>
          <w:szCs w:val="28"/>
        </w:rPr>
        <w:t>й программы за отчетный квартал</w:t>
      </w:r>
      <w:r w:rsidRPr="00156D3A">
        <w:rPr>
          <w:rFonts w:ascii="Times New Roman" w:hAnsi="Times New Roman" w:cs="Times New Roman"/>
          <w:sz w:val="28"/>
          <w:szCs w:val="28"/>
        </w:rPr>
        <w:t>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9" w:type="dxa"/>
        <w:tblInd w:w="316" w:type="dxa"/>
        <w:tblLayout w:type="fixed"/>
        <w:tblLook w:val="0000" w:firstRow="0" w:lastRow="0" w:firstColumn="0" w:lastColumn="0" w:noHBand="0" w:noVBand="0"/>
      </w:tblPr>
      <w:tblGrid>
        <w:gridCol w:w="5921"/>
        <w:gridCol w:w="3828"/>
      </w:tblGrid>
      <w:tr w:rsidR="0004631A" w:rsidTr="0004631A">
        <w:trPr>
          <w:trHeight w:val="2265"/>
        </w:trPr>
        <w:tc>
          <w:tcPr>
            <w:tcW w:w="5921" w:type="dxa"/>
          </w:tcPr>
          <w:p w:rsidR="0004631A" w:rsidRDefault="0004631A" w:rsidP="000463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4631A" w:rsidRPr="007A0845" w:rsidRDefault="0004631A" w:rsidP="000463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4631A" w:rsidRPr="007A0845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</w:p>
          <w:p w:rsidR="0004631A" w:rsidRDefault="00EE7EE9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31A"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Селигера 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2022- 2027 годы»</w:t>
            </w:r>
          </w:p>
        </w:tc>
      </w:tr>
    </w:tbl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8"/>
        <w:gridCol w:w="1368"/>
        <w:gridCol w:w="1933"/>
        <w:gridCol w:w="1843"/>
        <w:gridCol w:w="2356"/>
      </w:tblGrid>
      <w:tr w:rsidR="00E23647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EE7EE9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эффективной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подпрограммы 1 «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подпрограммы 1 </w:t>
            </w:r>
            <w:r w:rsidRPr="00EE7EE9">
              <w:rPr>
                <w:rFonts w:ascii="Times New Roman" w:hAnsi="Times New Roman" w:cs="Times New Roman"/>
                <w:bCs/>
                <w:sz w:val="24"/>
                <w:szCs w:val="24"/>
              </w:rPr>
              <w:t>«Количество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Подпрограммы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духовно-н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Мероприятия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Задачи 1 Подпрограммы 1    «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Задачи 1 Подпрограммы 1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 в рамках ре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федеральной программы «</w:t>
            </w:r>
            <w:r w:rsidR="00EE7EE9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Увековечивание памяти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.Мероприя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2. Задачи 1 Подпрограммы 1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воинских захороне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Административное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1 Подпрограммы 1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1 Мероприятие 2.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Подпрограммы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Административное мероприятие 3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Подпрограммы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информированию Молодежи в части безопасного поведения, де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йствий в чрезвычайных ситуациях»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3. Задачи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Подпрограммы 1 </w:t>
            </w:r>
            <w:r w:rsid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в части безопасного поведения, действий в чрезвычай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ситуациях»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«Вовлечение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  в волонтерскую  деятельность, общественно-политическую, социально-экономическую и культурную жизнь общества, разв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итие молодежного самоуправления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Задачи 2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Подрограммы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 Задачи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Администрактивное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илактики и борьбы с коррупцией»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1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Администрактивное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Подрограммы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 w:rsidRPr="00EE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2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направленной на формирование здорового образа жизни»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Подпрограммы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2 подпрограммы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казатель 1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2 подпрограммы 2 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молодежи,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принимающее участие в мероприятиях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дминистративное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2 подпрограммы 2 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бесед, встреч и др. мероприятий напра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вленных на здоровый образ жизни»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подпрограммы 2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«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 1    Задачи 2 Подпрограммы 2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  1 Задачи 2 Подпрограммы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2 Подпрограммы 2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Административное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2 Подпрограммы 2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Мероприятия Задачи 2 Подпрограммы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63A9E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EE7EE9" w:rsidRDefault="00FC14D2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Административное мероприятие 3 Задачи 2 Подпрограммы 2</w:t>
            </w:r>
            <w:r w:rsidR="00F50AD5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085F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</w:t>
            </w:r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вление и уничтожение незаконной рекламы наркотических средств на фасадах зданий и сооружений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  <w:p w:rsidR="00063A9E" w:rsidRPr="00EE7EE9" w:rsidRDefault="00063A9E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F50AD5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D5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EE7EE9" w:rsidRDefault="00FC14D2" w:rsidP="00F5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Показатель 1 Мероприятия 3</w:t>
            </w:r>
            <w:r w:rsidR="00F50AD5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Задачи 2 Подпрограммы 2</w:t>
            </w:r>
            <w:proofErr w:type="gramStart"/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 мероприятий»  </w:t>
            </w:r>
          </w:p>
          <w:p w:rsidR="00F50AD5" w:rsidRPr="00EE7EE9" w:rsidRDefault="00F50AD5" w:rsidP="00F50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3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«Обеспечение жильем молодых семей»</w:t>
            </w:r>
            <w:r w:rsidRPr="00EE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3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Содействие в о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беспечении жильем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 1 Подпрограммы 3  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«Количество молодых семей, улучивших свои жилищные условия в рамках реа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Задача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Подпрограммы 3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на реализацию мероприятий по </w:t>
            </w:r>
            <w:proofErr w:type="spell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обеспечекнию</w:t>
            </w:r>
            <w:proofErr w:type="spell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 Задача  1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«Количество мо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лодых семей получивших субсидию»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FC14D2" w:rsidP="00FC14D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2</w:t>
            </w:r>
            <w:r w:rsidR="00833AE2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 1</w:t>
            </w:r>
            <w:proofErr w:type="gramEnd"/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833AE2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 на участие в программе»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1 мероприятия 2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FC1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FC14D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Продвижение образа успешной молодой семьи, трансляция культуры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 в молодежную среду»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2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торжественной церемонии вручения сертификатов на приобретение (строите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льство) жилья для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1 Мероприятие 1 Задачи 2 Подпрограммы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сертификатов на приобретение (строительство) жилья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для работников сферы молодежной политики, сотрудников администраций муниципальных образований Тверской области по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мерам поддержки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 3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пройденных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4631A"/>
    <w:rsid w:val="00063A9E"/>
    <w:rsid w:val="00065EE9"/>
    <w:rsid w:val="00080366"/>
    <w:rsid w:val="00082E2B"/>
    <w:rsid w:val="000A052A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060C"/>
    <w:rsid w:val="00163E03"/>
    <w:rsid w:val="001648DE"/>
    <w:rsid w:val="00185B08"/>
    <w:rsid w:val="001A775E"/>
    <w:rsid w:val="001B1E9B"/>
    <w:rsid w:val="001C4BA3"/>
    <w:rsid w:val="001D245C"/>
    <w:rsid w:val="001D7C10"/>
    <w:rsid w:val="001F1EA6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2E5B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1A94"/>
    <w:rsid w:val="003953DD"/>
    <w:rsid w:val="003A5196"/>
    <w:rsid w:val="003C4056"/>
    <w:rsid w:val="00401BE4"/>
    <w:rsid w:val="00411C16"/>
    <w:rsid w:val="00411E30"/>
    <w:rsid w:val="00434B80"/>
    <w:rsid w:val="0046485A"/>
    <w:rsid w:val="00484862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24AD6"/>
    <w:rsid w:val="005350DF"/>
    <w:rsid w:val="00535303"/>
    <w:rsid w:val="00547DB4"/>
    <w:rsid w:val="00553C6D"/>
    <w:rsid w:val="005556BC"/>
    <w:rsid w:val="00556A3F"/>
    <w:rsid w:val="00556F19"/>
    <w:rsid w:val="00561C5F"/>
    <w:rsid w:val="00561E93"/>
    <w:rsid w:val="00571FAF"/>
    <w:rsid w:val="00583D18"/>
    <w:rsid w:val="005A7403"/>
    <w:rsid w:val="005B0413"/>
    <w:rsid w:val="005B0437"/>
    <w:rsid w:val="005C13B7"/>
    <w:rsid w:val="005C3003"/>
    <w:rsid w:val="005C75D7"/>
    <w:rsid w:val="005D42A6"/>
    <w:rsid w:val="005D61F4"/>
    <w:rsid w:val="005D7A4A"/>
    <w:rsid w:val="006213BA"/>
    <w:rsid w:val="0062225A"/>
    <w:rsid w:val="0062638F"/>
    <w:rsid w:val="006265E7"/>
    <w:rsid w:val="00627294"/>
    <w:rsid w:val="0063235D"/>
    <w:rsid w:val="0064732B"/>
    <w:rsid w:val="0065355E"/>
    <w:rsid w:val="00657093"/>
    <w:rsid w:val="006621E8"/>
    <w:rsid w:val="006654EC"/>
    <w:rsid w:val="00666C91"/>
    <w:rsid w:val="006671E9"/>
    <w:rsid w:val="006806A7"/>
    <w:rsid w:val="006A3EE6"/>
    <w:rsid w:val="006A668A"/>
    <w:rsid w:val="006A78AC"/>
    <w:rsid w:val="006B6BB4"/>
    <w:rsid w:val="006C2177"/>
    <w:rsid w:val="006C4728"/>
    <w:rsid w:val="006D39DD"/>
    <w:rsid w:val="006E13A5"/>
    <w:rsid w:val="006F5746"/>
    <w:rsid w:val="007023C2"/>
    <w:rsid w:val="00707FC6"/>
    <w:rsid w:val="00710F1C"/>
    <w:rsid w:val="007128B9"/>
    <w:rsid w:val="00714318"/>
    <w:rsid w:val="00716F9C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23104"/>
    <w:rsid w:val="00833AE2"/>
    <w:rsid w:val="00837E2D"/>
    <w:rsid w:val="008421C9"/>
    <w:rsid w:val="00842C0B"/>
    <w:rsid w:val="00850278"/>
    <w:rsid w:val="00862178"/>
    <w:rsid w:val="00874860"/>
    <w:rsid w:val="0089741F"/>
    <w:rsid w:val="008C6BAF"/>
    <w:rsid w:val="008D2BFE"/>
    <w:rsid w:val="008E06ED"/>
    <w:rsid w:val="00902A5B"/>
    <w:rsid w:val="00912C97"/>
    <w:rsid w:val="009256B3"/>
    <w:rsid w:val="00932B92"/>
    <w:rsid w:val="00941D4B"/>
    <w:rsid w:val="00961A39"/>
    <w:rsid w:val="00962E97"/>
    <w:rsid w:val="009639E7"/>
    <w:rsid w:val="00987088"/>
    <w:rsid w:val="009939A4"/>
    <w:rsid w:val="009B4C10"/>
    <w:rsid w:val="009B7AC7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5ECD"/>
    <w:rsid w:val="00AD6EA3"/>
    <w:rsid w:val="00AD7A4D"/>
    <w:rsid w:val="00AE177B"/>
    <w:rsid w:val="00AE7A2D"/>
    <w:rsid w:val="00AF0E61"/>
    <w:rsid w:val="00AF4BAC"/>
    <w:rsid w:val="00B13CCE"/>
    <w:rsid w:val="00B14C83"/>
    <w:rsid w:val="00B2257A"/>
    <w:rsid w:val="00B23A13"/>
    <w:rsid w:val="00B45263"/>
    <w:rsid w:val="00B52A5B"/>
    <w:rsid w:val="00B56495"/>
    <w:rsid w:val="00B573D0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2314C"/>
    <w:rsid w:val="00C54ECB"/>
    <w:rsid w:val="00C57619"/>
    <w:rsid w:val="00C8609E"/>
    <w:rsid w:val="00CA171F"/>
    <w:rsid w:val="00CB57F4"/>
    <w:rsid w:val="00CC0A8B"/>
    <w:rsid w:val="00CC1FE9"/>
    <w:rsid w:val="00CC55C1"/>
    <w:rsid w:val="00CC5696"/>
    <w:rsid w:val="00CC5CF0"/>
    <w:rsid w:val="00CD4565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14E08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ED231B"/>
    <w:rsid w:val="00EE5E3E"/>
    <w:rsid w:val="00EE7EE9"/>
    <w:rsid w:val="00F1465C"/>
    <w:rsid w:val="00F20F9B"/>
    <w:rsid w:val="00F2759A"/>
    <w:rsid w:val="00F36065"/>
    <w:rsid w:val="00F36D82"/>
    <w:rsid w:val="00F507BA"/>
    <w:rsid w:val="00F50AD5"/>
    <w:rsid w:val="00F92ED8"/>
    <w:rsid w:val="00F93262"/>
    <w:rsid w:val="00FB4F33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D1DD-8A98-4BA6-ADD7-02625AE8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2024-02-19T08:56:00Z</cp:lastPrinted>
  <dcterms:created xsi:type="dcterms:W3CDTF">2023-05-24T08:57:00Z</dcterms:created>
  <dcterms:modified xsi:type="dcterms:W3CDTF">2024-02-19T08:56:00Z</dcterms:modified>
</cp:coreProperties>
</file>